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center"/>
        <w:spacing w:before="120" w:beforeAutospacing="0" w:after="120" w:afterAutospacing="0" w:line="360" w:lineRule="auto"/>
        <w:rPr>
          <w:rFonts w:ascii="Arial" w:hAnsi="Arial" w:eastAsia="宋体" w:cs="Arial"/>
          <w:b/>
          <w:color w:val="auto"/>
          <w:sz w:val="52"/>
          <w:szCs w:val="52"/>
          <w:highlight w:val="none"/>
        </w:rPr>
      </w:pPr>
      <w:r/>
      <w:bookmarkStart w:id="196" w:name="_GoBack"/>
      <w:r/>
      <w:bookmarkEnd w:id="196"/>
      <w:r>
        <w:rPr>
          <w:color w:val="auto"/>
          <w:highlight w:val="none"/>
        </w:rPr>
        <w:t xml:space="preserve"> </w:t>
      </w:r>
      <w:r/>
    </w:p>
    <w:p>
      <w:pPr>
        <w:pStyle w:val="758"/>
        <w:jc w:val="center"/>
        <w:spacing w:before="120" w:beforeAutospacing="0" w:after="120" w:afterAutospacing="0" w:line="480" w:lineRule="auto"/>
        <w:rPr>
          <w:rFonts w:hint="eastAsia" w:ascii="Arial" w:hAnsi="Arial" w:eastAsia="宋体" w:cs="Arial"/>
          <w:b/>
          <w:color w:val="auto"/>
          <w:sz w:val="48"/>
          <w:szCs w:val="48"/>
          <w:highlight w:val="none"/>
          <w:lang w:eastAsia="zh-CN"/>
        </w:rPr>
      </w:pPr>
      <w:r>
        <w:rPr>
          <w:rFonts w:hint="eastAsia" w:ascii="Arial" w:hAnsi="Arial" w:eastAsia="宋体" w:cs="Arial"/>
          <w:b/>
          <w:color w:val="auto"/>
          <w:sz w:val="48"/>
          <w:szCs w:val="48"/>
          <w:highlight w:val="none"/>
          <w:lang w:eastAsia="zh-CN"/>
        </w:rPr>
      </w:r>
      <w:r/>
    </w:p>
    <w:p>
      <w:pPr>
        <w:pStyle w:val="758"/>
        <w:jc w:val="center"/>
        <w:spacing w:before="120" w:beforeAutospacing="0" w:after="120" w:afterAutospacing="0" w:line="48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48"/>
          <w:szCs w:val="48"/>
          <w:highlight w:val="none"/>
          <w:lang w:eastAsia="zh-CN"/>
        </w:rPr>
        <w:t xml:space="preserve">东台市实验中学未来实验室建设项目</w:t>
      </w:r>
      <w:r/>
    </w:p>
    <w:p>
      <w:pPr>
        <w:pStyle w:val="758"/>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58"/>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58"/>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84"/>
          <w:szCs w:val="84"/>
          <w:highlight w:val="none"/>
        </w:rPr>
        <w:t xml:space="preserve">招标文件</w:t>
      </w:r>
      <w:r/>
    </w:p>
    <w:p>
      <w:pPr>
        <w:pStyle w:val="758"/>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58"/>
        <w:jc w:val="center"/>
        <w:spacing w:before="120" w:beforeAutospacing="0" w:after="120" w:afterAutospacing="0" w:line="360" w:lineRule="auto"/>
        <w:rPr>
          <w:rFonts w:ascii="Arial" w:hAnsi="Arial" w:eastAsia="宋体" w:cs="Arial"/>
          <w:b/>
          <w:color w:val="auto"/>
          <w:sz w:val="36"/>
          <w:szCs w:val="36"/>
          <w:highlight w:val="none"/>
        </w:rPr>
      </w:pPr>
      <w:r>
        <w:rPr>
          <w:rFonts w:hint="eastAsia" w:ascii="Arial" w:hAnsi="Arial" w:cs="Arial"/>
          <w:b/>
          <w:color w:val="auto"/>
          <w:sz w:val="36"/>
          <w:szCs w:val="36"/>
          <w:highlight w:val="none"/>
        </w:rPr>
        <w:t xml:space="preserve">编号：</w:t>
      </w:r>
      <w:r>
        <w:rPr>
          <w:rFonts w:hint="eastAsia" w:ascii="Arial" w:hAnsi="Arial" w:eastAsia="宋体" w:cs="Arial"/>
          <w:b/>
          <w:color w:val="auto"/>
          <w:sz w:val="36"/>
          <w:szCs w:val="36"/>
          <w:highlight w:val="none"/>
        </w:rPr>
        <w:t xml:space="preserve"> JSZC-320981-XHZB-G2025-0070</w:t>
      </w:r>
      <w:r/>
    </w:p>
    <w:p>
      <w:pPr>
        <w:pStyle w:val="758"/>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 </w:t>
      </w:r>
      <w:r/>
    </w:p>
    <w:p>
      <w:pPr>
        <w:pStyle w:val="758"/>
        <w:spacing w:beforeAutospacing="0" w:afterAutospacing="0" w:line="360" w:lineRule="auto"/>
        <w:rPr>
          <w:color w:val="auto"/>
          <w:highlight w:val="none"/>
        </w:rPr>
      </w:pPr>
      <w:r>
        <w:rPr>
          <w:color w:val="auto"/>
          <w:highlight w:val="none"/>
        </w:rPr>
        <w:t xml:space="preserve"> </w:t>
      </w:r>
      <w:r/>
    </w:p>
    <w:p>
      <w:pPr>
        <w:pStyle w:val="758"/>
        <w:spacing w:beforeAutospacing="0" w:afterAutospacing="0" w:line="360" w:lineRule="auto"/>
        <w:rPr>
          <w:color w:val="auto"/>
          <w:highlight w:val="none"/>
        </w:rPr>
      </w:pPr>
      <w:r>
        <w:rPr>
          <w:color w:val="auto"/>
          <w:highlight w:val="none"/>
        </w:rPr>
        <w:t xml:space="preserve"> </w:t>
      </w:r>
      <w:r/>
    </w:p>
    <w:p>
      <w:pPr>
        <w:pStyle w:val="758"/>
        <w:spacing w:beforeAutospacing="0" w:afterAutospacing="0" w:line="360" w:lineRule="auto"/>
        <w:rPr>
          <w:color w:val="auto"/>
          <w:highlight w:val="none"/>
        </w:rPr>
      </w:pPr>
      <w:r>
        <w:rPr>
          <w:color w:val="auto"/>
          <w:highlight w:val="none"/>
        </w:rPr>
        <w:t xml:space="preserve"> </w:t>
      </w:r>
      <w:r/>
    </w:p>
    <w:p>
      <w:pPr>
        <w:pStyle w:val="758"/>
        <w:spacing w:beforeAutospacing="0" w:afterAutospacing="0" w:line="360" w:lineRule="auto"/>
        <w:rPr>
          <w:color w:val="auto"/>
          <w:highlight w:val="none"/>
        </w:rPr>
      </w:pPr>
      <w:r>
        <w:rPr>
          <w:color w:val="auto"/>
          <w:highlight w:val="none"/>
        </w:rPr>
      </w:r>
      <w:r/>
    </w:p>
    <w:p>
      <w:pPr>
        <w:pStyle w:val="758"/>
        <w:spacing w:beforeAutospacing="0" w:afterAutospacing="0" w:line="360" w:lineRule="auto"/>
        <w:rPr>
          <w:rFonts w:ascii="Arial" w:hAnsi="Arial" w:cs="Arial"/>
          <w:b/>
          <w:color w:val="auto"/>
          <w:sz w:val="36"/>
          <w:szCs w:val="36"/>
          <w:highlight w:val="none"/>
        </w:rPr>
      </w:pPr>
      <w:r>
        <w:rPr>
          <w:color w:val="auto"/>
          <w:highlight w:val="none"/>
        </w:rPr>
        <w:t xml:space="preserve"> </w:t>
      </w:r>
      <w:r>
        <w:rPr>
          <w:rFonts w:hint="eastAsia"/>
          <w:color w:val="auto"/>
          <w:highlight w:val="none"/>
        </w:rPr>
        <w:t xml:space="preserve">                        </w:t>
      </w:r>
      <w:r>
        <w:rPr>
          <w:rFonts w:hint="eastAsia" w:ascii="Arial" w:hAnsi="Arial" w:cs="Arial"/>
          <w:b/>
          <w:color w:val="auto"/>
          <w:sz w:val="36"/>
          <w:szCs w:val="36"/>
          <w:highlight w:val="none"/>
        </w:rPr>
        <w:t xml:space="preserve">东台市实验中学</w:t>
      </w:r>
      <w:r/>
    </w:p>
    <w:p>
      <w:pPr>
        <w:pStyle w:val="758"/>
        <w:jc w:val="center"/>
        <w:spacing w:before="120" w:beforeAutospacing="0" w:after="120" w:afterAutospacing="0" w:line="360" w:lineRule="auto"/>
        <w:rPr>
          <w:color w:val="auto"/>
          <w:highlight w:val="none"/>
          <w:u w:val="single"/>
        </w:rPr>
      </w:pPr>
      <w:r>
        <w:rPr>
          <w:rFonts w:hint="eastAsia" w:ascii="Arial" w:hAnsi="Arial" w:cs="Arial"/>
          <w:b/>
          <w:color w:val="auto"/>
          <w:sz w:val="36"/>
          <w:szCs w:val="36"/>
          <w:highlight w:val="none"/>
          <w:u w:val="single"/>
        </w:rPr>
        <w:t xml:space="preserve"> 2025 </w:t>
      </w:r>
      <w:r>
        <w:rPr>
          <w:rFonts w:ascii="Arial" w:hAnsi="Arial" w:cs="Arial"/>
          <w:b/>
          <w:color w:val="auto"/>
          <w:sz w:val="36"/>
          <w:szCs w:val="36"/>
          <w:highlight w:val="none"/>
        </w:rPr>
        <w:t xml:space="preserve">年</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u w:val="single"/>
          <w:lang w:val="en-US" w:eastAsia="zh-CN"/>
        </w:rPr>
        <w:t xml:space="preserve">9</w:t>
      </w:r>
      <w:r>
        <w:rPr>
          <w:rFonts w:hint="eastAsia" w:ascii="Arial" w:hAnsi="Arial" w:cs="Arial"/>
          <w:b/>
          <w:color w:val="auto"/>
          <w:sz w:val="36"/>
          <w:szCs w:val="36"/>
          <w:highlight w:val="none"/>
          <w:u w:val="single"/>
        </w:rPr>
        <w:t xml:space="preserve"> </w:t>
      </w:r>
      <w:r>
        <w:rPr>
          <w:rFonts w:ascii="Arial" w:hAnsi="Arial" w:cs="Arial"/>
          <w:b/>
          <w:color w:val="auto"/>
          <w:sz w:val="36"/>
          <w:szCs w:val="36"/>
          <w:highlight w:val="none"/>
        </w:rPr>
        <w:t xml:space="preserve">月</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u w:val="single"/>
          <w:lang w:val="en-US" w:eastAsia="zh-CN"/>
        </w:rPr>
        <w:t xml:space="preserve">16</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rPr>
        <w:t xml:space="preserve">日</w:t>
      </w:r>
      <w:r/>
    </w:p>
    <w:p>
      <w:pPr>
        <w:pStyle w:val="75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bookmarkStart w:id="0" w:name="_Toc523127445"/>
      <w:r/>
      <w:bookmarkStart w:id="1" w:name="_Toc16938516"/>
      <w:r/>
      <w:bookmarkStart w:id="2" w:name="_Toc513029200"/>
      <w:r/>
      <w:bookmarkStart w:id="3" w:name="_Toc120614210"/>
      <w:r/>
      <w:bookmarkStart w:id="4" w:name="_Toc479757206"/>
      <w:r/>
      <w:bookmarkStart w:id="5" w:name="_Toc20823272"/>
      <w:r/>
      <w:r/>
    </w:p>
    <w:p>
      <w:pPr>
        <w:pStyle w:val="75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58"/>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58"/>
        <w:jc w:val="both"/>
        <w:spacing w:beforeAutospacing="0" w:afterAutospacing="0" w:line="480" w:lineRule="auto"/>
        <w:rPr>
          <w:color w:val="auto"/>
          <w:highlight w:val="none"/>
        </w:rPr>
      </w:pPr>
      <w:r>
        <w:rPr>
          <w:color w:val="auto"/>
          <w:highlight w:val="none"/>
        </w:rPr>
        <w:t xml:space="preserve"> </w:t>
      </w:r>
      <w:r/>
    </w:p>
    <w:p>
      <w:pPr>
        <w:pStyle w:val="75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 </w:t>
      </w:r>
      <w:r/>
    </w:p>
    <w:p>
      <w:pPr>
        <w:pStyle w:val="75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75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合同条款……………………………………</w:t>
      </w:r>
      <w:r/>
    </w:p>
    <w:p>
      <w:pPr>
        <w:pStyle w:val="75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75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75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color w:val="auto"/>
          <w:highlight w:val="none"/>
        </w:rPr>
        <w:t xml:space="preserve"> </w:t>
      </w:r>
      <w:r/>
    </w:p>
    <w:p>
      <w:pPr>
        <w:pStyle w:val="758"/>
        <w:jc w:val="center"/>
        <w:keepNext/>
        <w:spacing w:beforeAutospacing="0" w:afterAutospacing="0"/>
        <w:rPr>
          <w:rFonts w:eastAsia="黑体"/>
          <w:color w:val="auto"/>
          <w:highlight w:val="none"/>
        </w:rPr>
      </w:pPr>
      <w:r/>
      <w:bookmarkStart w:id="6" w:name="_Toc28359086"/>
      <w:r>
        <w:rPr>
          <w:rFonts w:hint="eastAsia" w:ascii="黑体" w:hAnsi="宋体" w:eastAsia="黑体" w:cs="黑体"/>
          <w:color w:val="auto"/>
          <w:sz w:val="44"/>
          <w:szCs w:val="44"/>
          <w:highlight w:val="none"/>
        </w:rPr>
        <w:t xml:space="preserve">第一章 招标公告</w:t>
      </w:r>
      <w:r/>
    </w:p>
    <w:p>
      <w:pPr>
        <w:pStyle w:val="758"/>
        <w:ind w:firstLine="480"/>
        <w:jc w:val="both"/>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58"/>
        <w:ind w:firstLine="480"/>
        <w:jc w:val="both"/>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东台市实验中学未来实验室建设项目</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2025</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 10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 27 </w:t>
      </w:r>
      <w:r>
        <w:rPr>
          <w:rFonts w:hint="eastAsia" w:ascii="宋体" w:hAnsi="宋体" w:eastAsia="宋体" w:cs="宋体"/>
          <w:color w:val="auto"/>
          <w:highlight w:val="none"/>
        </w:rPr>
        <w:t xml:space="preserve">日</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rPr>
        <w:t xml:space="preserve">点</w:t>
      </w:r>
      <w:r>
        <w:rPr>
          <w:rFonts w:hint="eastAsia" w:ascii="宋体" w:hAnsi="宋体" w:eastAsia="宋体" w:cs="宋体"/>
          <w:color w:val="auto"/>
          <w:highlight w:val="none"/>
          <w:u w:val="single"/>
        </w:rPr>
        <w:t xml:space="preserve">00</w:t>
      </w:r>
      <w:r>
        <w:rPr>
          <w:rFonts w:hint="eastAsia" w:ascii="宋体" w:hAnsi="宋体" w:eastAsia="宋体" w:cs="宋体"/>
          <w:color w:val="auto"/>
          <w:highlight w:val="none"/>
        </w:rPr>
        <w:t xml:space="preserve">分（北京时间）前递交投标文件。</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7" w:name="_Toc28359002"/>
      <w:r/>
      <w:bookmarkStart w:id="8" w:name="_Toc28359079"/>
      <w:r/>
      <w:bookmarkStart w:id="9" w:name="_Toc38985263"/>
      <w:r/>
      <w:bookmarkStart w:id="10" w:name="_Toc35393790"/>
      <w:r/>
      <w:bookmarkStart w:id="11" w:name="_Hlk24379207"/>
      <w:r/>
      <w:bookmarkStart w:id="12" w:name="_Toc35393621"/>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758"/>
        <w:ind w:firstLine="480"/>
        <w:jc w:val="both"/>
        <w:spacing w:beforeAutospacing="0" w:afterAutospacing="0" w:line="48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1.项目编号：JSZC-320981-XHZB-G2025-0070</w:t>
      </w:r>
      <w:r/>
    </w:p>
    <w:p>
      <w:pPr>
        <w:pStyle w:val="758"/>
        <w:ind w:firstLine="480"/>
        <w:jc w:val="both"/>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东台市实验中学未来实验室建设项目</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4.预算金额：160万元</w:t>
      </w:r>
      <w:r/>
    </w:p>
    <w:p>
      <w:pPr>
        <w:pStyle w:val="758"/>
        <w:ind w:firstLine="480"/>
        <w:jc w:val="both"/>
        <w:spacing w:beforeAutospacing="0" w:afterAutospacing="0" w:line="480" w:lineRule="exact"/>
        <w:rPr>
          <w:rFonts w:hint="eastAsia" w:ascii="宋体" w:hAnsi="宋体" w:eastAsia="宋体" w:cs="宋体"/>
          <w:color w:val="auto"/>
          <w:highlight w:val="none"/>
          <w:shd w:val="clear" w:color="ffffff" w:fill="d9d9d9"/>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shd w:val="clear" w:color="auto" w:fill="ffffff"/>
          <w:lang w:val="en-US" w:eastAsia="zh-CN"/>
        </w:rPr>
        <w:t xml:space="preserve">15</w:t>
      </w:r>
      <w:r>
        <w:rPr>
          <w:rFonts w:hint="eastAsia" w:ascii="宋体" w:hAnsi="宋体" w:eastAsia="宋体" w:cs="宋体"/>
          <w:color w:val="auto"/>
          <w:highlight w:val="none"/>
          <w:shd w:val="clear" w:color="auto" w:fill="ffffff"/>
          <w:lang w:val="en-US" w:eastAsia="zh-CN"/>
        </w:rPr>
        <w:t xml:space="preserve">0</w:t>
      </w:r>
      <w:r>
        <w:rPr>
          <w:rFonts w:hint="eastAsia" w:ascii="宋体" w:hAnsi="宋体" w:eastAsia="宋体" w:cs="宋体"/>
          <w:color w:val="auto"/>
          <w:highlight w:val="none"/>
          <w:shd w:val="clear" w:color="auto" w:fill="ffffff"/>
        </w:rPr>
        <w:t xml:space="preserve">万元</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6.采购需求：东台市实验中学</w:t>
      </w:r>
      <w:r>
        <w:rPr>
          <w:rFonts w:hint="eastAsia" w:ascii="宋体" w:hAnsi="宋体" w:eastAsia="宋体" w:cs="宋体"/>
          <w:color w:val="auto"/>
          <w:highlight w:val="none"/>
          <w:lang w:val="en-US" w:eastAsia="zh-CN"/>
        </w:rPr>
        <w:t xml:space="preserve">拟</w:t>
      </w:r>
      <w:r>
        <w:rPr>
          <w:rFonts w:hint="eastAsia" w:ascii="宋体" w:hAnsi="宋体" w:eastAsia="宋体" w:cs="宋体"/>
          <w:color w:val="auto"/>
          <w:highlight w:val="none"/>
        </w:rPr>
        <w:t xml:space="preserve">建设未来实验室</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间，满足2026年初中学</w:t>
      </w:r>
      <w:r>
        <w:rPr>
          <w:rFonts w:hint="eastAsia" w:ascii="宋体" w:hAnsi="宋体" w:eastAsia="宋体" w:cs="宋体"/>
          <w:color w:val="auto"/>
          <w:highlight w:val="none"/>
          <w:lang w:val="en-US" w:eastAsia="zh-CN"/>
        </w:rPr>
        <w:t xml:space="preserve">生实验</w:t>
      </w:r>
      <w:r>
        <w:rPr>
          <w:rFonts w:hint="eastAsia" w:ascii="宋体" w:hAnsi="宋体" w:eastAsia="宋体" w:cs="宋体"/>
          <w:color w:val="auto"/>
          <w:highlight w:val="none"/>
        </w:rPr>
        <w:t xml:space="preserve">要求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具体性能及参数要求详见招标文件。（详细内容见本招标文件第四章）</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7.合同履行期限：合同签订后25日内货物全部送达招标人指定地点，并安装调试完毕。</w:t>
      </w:r>
      <w:r/>
    </w:p>
    <w:p>
      <w:pPr>
        <w:pStyle w:val="758"/>
        <w:ind w:firstLine="480"/>
        <w:jc w:val="both"/>
        <w:spacing w:beforeAutospacing="0" w:afterAutospacing="0" w:line="480" w:lineRule="exact"/>
        <w:rPr>
          <w:rFonts w:hint="eastAsia" w:ascii="宋体" w:hAnsi="宋体" w:eastAsia="宋体" w:cs="宋体"/>
          <w:color w:val="auto"/>
          <w:highlight w:val="none"/>
          <w:shd w:val="clear" w:color="auto" w:fill="ffff00"/>
        </w:rPr>
      </w:pPr>
      <w:r>
        <w:rPr>
          <w:rFonts w:hint="eastAsia" w:ascii="宋体" w:hAnsi="宋体" w:eastAsia="宋体" w:cs="宋体"/>
          <w:color w:val="auto"/>
          <w:highlight w:val="none"/>
          <w:shd w:val="clear" w:color="auto" w:fill="ffffff"/>
        </w:rPr>
        <w:t xml:space="preserve">8.本项目不接受联合体参与投标。</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13" w:name="_Toc35393622"/>
      <w:r/>
      <w:bookmarkStart w:id="14" w:name="_Toc38985264"/>
      <w:r/>
      <w:bookmarkStart w:id="15" w:name="_Toc35393791"/>
      <w:r/>
      <w:bookmarkStart w:id="16" w:name="_Toc28359080"/>
      <w:r/>
      <w:bookmarkStart w:id="17" w:name="_Toc28359003"/>
      <w:r>
        <w:rPr>
          <w:rFonts w:hint="eastAsia" w:ascii="宋体" w:hAnsi="宋体" w:eastAsia="宋体" w:cs="宋体"/>
          <w:b/>
          <w:color w:val="auto"/>
          <w:highlight w:val="none"/>
        </w:rPr>
        <w:t xml:space="preserve">二、申请人的资格要求：</w:t>
      </w:r>
      <w:bookmarkEnd w:id="13"/>
      <w:r/>
      <w:bookmarkEnd w:id="14"/>
      <w:r/>
      <w:bookmarkEnd w:id="15"/>
      <w:r/>
      <w:bookmarkEnd w:id="16"/>
      <w:r/>
      <w:bookmarkEnd w:id="17"/>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1.2上一年度的财务状况报表（成立不满一年无需提供）；</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2.落实政府采购政策需满足的资格要求：本项目为专门面向</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企业采购的项目，供应商必须为</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企业、监狱企业、残疾人福利性单位，不接受非</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企业参与本项目投标。投标文件中需提供《中小企业声明函》，否则按无效</w:t>
      </w:r>
      <w:r>
        <w:rPr>
          <w:rFonts w:hint="eastAsia" w:ascii="宋体" w:hAnsi="宋体" w:eastAsia="宋体" w:cs="宋体"/>
          <w:color w:val="auto"/>
          <w:highlight w:val="none"/>
          <w:lang w:val="en-US" w:eastAsia="zh-CN"/>
        </w:rPr>
        <w:t xml:space="preserve">投标</w:t>
      </w:r>
      <w:r>
        <w:rPr>
          <w:rFonts w:hint="eastAsia" w:ascii="宋体" w:hAnsi="宋体" w:eastAsia="宋体" w:cs="宋体"/>
          <w:color w:val="auto"/>
          <w:highlight w:val="none"/>
        </w:rPr>
        <w:t xml:space="preserve">处理。具体中小企业划分标准详见《关于印发中小企业划型标准规定的通知》工信部联企业〔2011〕300号文件。因本项目专门面向</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企业采购，故不再执行价格评审优惠的扶持政策。</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监狱企业、残疾人福利性单位视同小微企业。</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3.本项目的特定资格要求：投标人如委托被授权人参与，则被授权人须为本单位正式职工并提供投标人为被授权人缴纳的社会养老保险证明。</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bookmarkStart w:id="18" w:name="_Toc35393793"/>
      <w:r/>
      <w:bookmarkStart w:id="19" w:name="_Toc28359005"/>
      <w:r/>
      <w:bookmarkStart w:id="20" w:name="_Toc38985266"/>
      <w:r/>
      <w:bookmarkStart w:id="21" w:name="_Toc35393624"/>
      <w:r/>
      <w:bookmarkStart w:id="22" w:name="_Toc28359082"/>
      <w:r>
        <w:rPr>
          <w:rFonts w:hint="eastAsia" w:ascii="宋体" w:hAnsi="宋体" w:eastAsia="宋体" w:cs="宋体"/>
          <w:color w:val="auto"/>
          <w:highlight w:val="none"/>
        </w:rPr>
        <w:t xml:space="preserve">1.时间：</w:t>
      </w:r>
      <w:bookmarkEnd w:id="18"/>
      <w:r/>
      <w:bookmarkEnd w:id="19"/>
      <w:r/>
      <w:bookmarkEnd w:id="20"/>
      <w:r/>
      <w:bookmarkEnd w:id="21"/>
      <w:r/>
      <w:bookmarkEnd w:id="22"/>
      <w:r>
        <w:rPr>
          <w:rFonts w:hint="eastAsia" w:ascii="宋体" w:hAnsi="宋体" w:eastAsia="宋体" w:cs="宋体"/>
          <w:color w:val="auto"/>
          <w:highlight w:val="none"/>
        </w:rPr>
        <w:t xml:space="preserve">自招标文件公告发布之日起5个工作日</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1.时间：</w:t>
      </w:r>
      <w:r>
        <w:rPr>
          <w:rFonts w:hint="eastAsia" w:ascii="宋体" w:hAnsi="宋体" w:eastAsia="宋体" w:cs="宋体"/>
          <w:color w:val="auto"/>
          <w:highlight w:val="none"/>
          <w:u w:val="single"/>
        </w:rPr>
        <w:t xml:space="preserve">2025</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10</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27</w:t>
      </w:r>
      <w:r>
        <w:rPr>
          <w:rFonts w:hint="eastAsia" w:ascii="宋体" w:hAnsi="宋体" w:eastAsia="宋体" w:cs="宋体"/>
          <w:color w:val="auto"/>
          <w:highlight w:val="none"/>
        </w:rPr>
        <w:t xml:space="preserve">日</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rPr>
        <w:t xml:space="preserve">点</w:t>
      </w:r>
      <w:r>
        <w:rPr>
          <w:rFonts w:hint="eastAsia" w:ascii="宋体" w:hAnsi="宋体" w:eastAsia="宋体" w:cs="宋体"/>
          <w:color w:val="auto"/>
          <w:highlight w:val="none"/>
          <w:u w:val="single"/>
        </w:rPr>
        <w:t xml:space="preserve">00</w:t>
      </w:r>
      <w:r>
        <w:rPr>
          <w:rFonts w:hint="eastAsia" w:ascii="宋体" w:hAnsi="宋体" w:eastAsia="宋体" w:cs="宋体"/>
          <w:color w:val="auto"/>
          <w:highlight w:val="none"/>
        </w:rPr>
        <w:t xml:space="preserve">分（北京时间）</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2.地点：“苏采云”政府采购交易系统网上开标大厅 </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23" w:name="_Toc35393625"/>
      <w:r/>
      <w:bookmarkStart w:id="24" w:name="_Toc38985267"/>
      <w:r/>
      <w:bookmarkStart w:id="25" w:name="_Toc35393794"/>
      <w:r/>
      <w:bookmarkStart w:id="26" w:name="_Toc28359084"/>
      <w:r/>
      <w:bookmarkStart w:id="27" w:name="_Toc28359007"/>
      <w:r>
        <w:rPr>
          <w:rFonts w:hint="eastAsia" w:ascii="宋体" w:hAnsi="宋体" w:eastAsia="宋体" w:cs="宋体"/>
          <w:b/>
          <w:color w:val="auto"/>
          <w:highlight w:val="none"/>
        </w:rPr>
        <w:t xml:space="preserve">五、公告期限</w:t>
      </w:r>
      <w:bookmarkEnd w:id="23"/>
      <w:r/>
      <w:bookmarkEnd w:id="24"/>
      <w:r/>
      <w:bookmarkEnd w:id="25"/>
      <w:r/>
      <w:bookmarkEnd w:id="26"/>
      <w:r/>
      <w:bookmarkEnd w:id="27"/>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bookmarkStart w:id="28" w:name="_Toc35393795"/>
      <w:r/>
      <w:bookmarkStart w:id="29" w:name="_Toc38985268"/>
      <w:r/>
      <w:bookmarkStart w:id="30" w:name="_Toc35393626"/>
      <w:r>
        <w:rPr>
          <w:rFonts w:hint="eastAsia" w:ascii="宋体" w:hAnsi="宋体" w:eastAsia="宋体" w:cs="宋体"/>
          <w:color w:val="auto"/>
          <w:highlight w:val="none"/>
          <w:shd w:val="clear" w:color="auto" w:fill="ffffff"/>
        </w:rPr>
        <w:t xml:space="preserve">自本公告发布之日起5个工作日</w:t>
      </w:r>
      <w:bookmarkEnd w:id="28"/>
      <w:r/>
      <w:bookmarkEnd w:id="29"/>
      <w:r/>
      <w:bookmarkEnd w:id="30"/>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bookmarkStart w:id="31"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 工具可通过“苏采云”系统相应链接进行下载。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 采购代理机构将数据电文形式的采购文件加载至“苏采云”系统，供潜在供应商下载或者查阅。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3.有关本次招标的事项若存在变动或修改，敬请及时关注在“</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江苏政府采购网”“盐城市政府采购网”发布的更正公告。</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729"/>
        <w:ind w:firstLine="480"/>
        <w:jc w:val="both"/>
        <w:spacing w:beforeAutospacing="0" w:afterAutospacing="0" w:line="480" w:lineRule="exact"/>
        <w:shd w:val="clear" w:color="auto" w:fill="ffffff"/>
        <w:widowControl/>
        <w:rPr>
          <w:rFonts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1"/>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1.采购人信息</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名    称：东台市实验中学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址：东台市</w:t>
      </w:r>
      <w:r>
        <w:rPr>
          <w:rFonts w:hint="eastAsia" w:ascii="宋体" w:hAnsi="宋体" w:eastAsia="宋体" w:cs="宋体"/>
          <w:color w:val="auto"/>
          <w:highlight w:val="none"/>
          <w:lang w:eastAsia="zh-CN"/>
        </w:rPr>
        <w:t xml:space="preserve">北海西路2号</w:t>
      </w:r>
      <w:r>
        <w:rPr>
          <w:rFonts w:hint="eastAsia" w:ascii="宋体" w:hAnsi="宋体" w:eastAsia="宋体" w:cs="宋体"/>
          <w:color w:val="auto"/>
          <w:highlight w:val="none"/>
        </w:rPr>
        <w:t xml:space="preserve">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  系人：戴先生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联系方式：13962072720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2.采购代理机构信息（如有）</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名    称：东台市兴华招标代理有限公司</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址：东台市东达翰林缘小区商铺12-104号</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 系 人：刘先生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联系方式：13921850520                   </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项目联系人：刘先生</w:t>
      </w:r>
      <w:r/>
    </w:p>
    <w:p>
      <w:pPr>
        <w:pStyle w:val="758"/>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电　 　 话：13921850520</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32" w:name="_Toc120614211"/>
      <w:r/>
      <w:r/>
    </w:p>
    <w:p>
      <w:pPr>
        <w:pStyle w:val="758"/>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2"/>
      <w:r/>
      <w:bookmarkStart w:id="33" w:name="_Toc120614213"/>
      <w:r/>
      <w:bookmarkStart w:id="34" w:name="_Toc16938518"/>
      <w:r/>
      <w:bookmarkStart w:id="35" w:name="_Toc513029202"/>
      <w:r/>
      <w:bookmarkStart w:id="36" w:name="_Toc20823274"/>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auto"/>
          <w:highlight w:val="none"/>
        </w:rPr>
        <w:t xml:space="preserve">一、总则</w:t>
      </w:r>
      <w:bookmarkEnd w:id="37"/>
      <w:r/>
      <w:bookmarkEnd w:id="38"/>
      <w:r/>
      <w:bookmarkEnd w:id="39"/>
      <w:r/>
      <w:bookmarkEnd w:id="40"/>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41" w:name="_Toc20823276"/>
      <w:r/>
      <w:bookmarkStart w:id="42" w:name="_Toc513029204"/>
      <w:r/>
      <w:bookmarkStart w:id="43" w:name="_Toc458694821"/>
      <w:r/>
      <w:bookmarkStart w:id="44" w:name="_Toc16938520"/>
      <w:r/>
      <w:bookmarkStart w:id="45" w:name="_Hlt16619475"/>
      <w:r>
        <w:rPr>
          <w:rFonts w:hint="eastAsia" w:ascii="宋体" w:hAnsi="宋体" w:eastAsia="宋体" w:cs="宋体"/>
          <w:color w:val="auto"/>
          <w:highlight w:val="none"/>
        </w:rPr>
        <w:t xml:space="preserve">1</w:t>
      </w:r>
      <w:bookmarkEnd w:id="41"/>
      <w:r>
        <w:rPr>
          <w:rFonts w:hint="eastAsia" w:ascii="宋体" w:hAnsi="宋体" w:eastAsia="宋体" w:cs="宋体"/>
          <w:color w:val="auto"/>
          <w:highlight w:val="none"/>
        </w:rPr>
        <w:t xml:space="preserve">.招标方式</w:t>
      </w:r>
      <w:bookmarkEnd w:id="42"/>
      <w:r/>
      <w:bookmarkEnd w:id="43"/>
      <w:r/>
      <w:bookmarkEnd w:id="44"/>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 本次招标采取公开招标方式，本招标文件仅适用于招标公告中所述项目。</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46" w:name="_Toc513029205"/>
      <w:r/>
      <w:bookmarkStart w:id="47" w:name="_Toc16938521"/>
      <w:r/>
      <w:bookmarkStart w:id="48" w:name="_Toc20823277"/>
      <w:r>
        <w:rPr>
          <w:rFonts w:hint="eastAsia" w:ascii="宋体" w:hAnsi="宋体" w:eastAsia="宋体" w:cs="宋体"/>
          <w:color w:val="auto"/>
          <w:highlight w:val="none"/>
        </w:rPr>
        <w:t xml:space="preserve">2.合格的投标人</w:t>
      </w:r>
      <w:bookmarkEnd w:id="46"/>
      <w:r/>
      <w:bookmarkEnd w:id="47"/>
      <w:r/>
      <w:bookmarkEnd w:id="48"/>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 满足本文件实质性要求和条件的规定。</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49" w:name="_Toc20823278"/>
      <w:r/>
      <w:bookmarkStart w:id="50" w:name="_Toc16938522"/>
      <w:r/>
      <w:bookmarkStart w:id="51" w:name="_Toc513029206"/>
      <w:r>
        <w:rPr>
          <w:rFonts w:hint="eastAsia" w:ascii="宋体" w:hAnsi="宋体" w:eastAsia="宋体" w:cs="宋体"/>
          <w:color w:val="auto"/>
          <w:highlight w:val="none"/>
        </w:rPr>
        <w:t xml:space="preserve">3.适用法律</w:t>
      </w:r>
      <w:bookmarkEnd w:id="49"/>
      <w:r/>
      <w:bookmarkEnd w:id="50"/>
      <w:r/>
      <w:bookmarkEnd w:id="51"/>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52" w:name="_Toc462564067"/>
      <w:r/>
      <w:bookmarkStart w:id="53" w:name="_Toc20823279"/>
      <w:r/>
      <w:bookmarkStart w:id="54" w:name="_Toc513029207"/>
      <w:r/>
      <w:bookmarkStart w:id="55" w:name="_Toc16938523"/>
      <w:r>
        <w:rPr>
          <w:rFonts w:hint="eastAsia" w:ascii="宋体" w:hAnsi="宋体" w:eastAsia="宋体" w:cs="宋体"/>
          <w:color w:val="auto"/>
          <w:highlight w:val="none"/>
        </w:rPr>
        <w:t xml:space="preserve">4.投标费用</w:t>
      </w:r>
      <w:bookmarkEnd w:id="52"/>
      <w:r/>
      <w:bookmarkEnd w:id="53"/>
      <w:r/>
      <w:bookmarkEnd w:id="54"/>
      <w:r/>
      <w:bookmarkEnd w:id="55"/>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投标人应自行承担所有与参加投标有关的费用，无论投标过程中的做法和结果如何，采购人及代理机构在任何情况下均无义务和责任承担这些费用。</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4.2本次招标采购人和代理机构不收取标书工本费与中标服务费。</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56" w:name="_Toc513029209"/>
      <w:r/>
      <w:bookmarkStart w:id="57" w:name="_Toc16938525"/>
      <w:r/>
      <w:bookmarkStart w:id="58" w:name="_Toc120614215"/>
      <w:r/>
      <w:bookmarkStart w:id="59" w:name="_Toc20823281"/>
      <w:r>
        <w:rPr>
          <w:rFonts w:hint="eastAsia" w:ascii="宋体" w:hAnsi="宋体" w:eastAsia="宋体" w:cs="宋体"/>
          <w:b/>
          <w:color w:val="auto"/>
          <w:highlight w:val="none"/>
        </w:rPr>
        <w:t xml:space="preserve">二、招标文件</w:t>
      </w:r>
      <w:bookmarkEnd w:id="56"/>
      <w:r/>
      <w:bookmarkEnd w:id="57"/>
      <w:r/>
      <w:bookmarkEnd w:id="58"/>
      <w:r/>
      <w:bookmarkEnd w:id="59"/>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60" w:name="_Toc16938526"/>
      <w:r/>
      <w:bookmarkStart w:id="61" w:name="_Toc513029210"/>
      <w:r/>
      <w:bookmarkStart w:id="62" w:name="_Toc20823282"/>
      <w:r>
        <w:rPr>
          <w:rFonts w:hint="eastAsia" w:ascii="宋体" w:hAnsi="宋体" w:eastAsia="宋体" w:cs="宋体"/>
          <w:color w:val="auto"/>
          <w:highlight w:val="none"/>
        </w:rPr>
        <w:t xml:space="preserve">6.招标文件构成</w:t>
      </w:r>
      <w:bookmarkEnd w:id="60"/>
      <w:r/>
      <w:bookmarkEnd w:id="61"/>
      <w:r/>
      <w:bookmarkEnd w:id="62"/>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请仔细检查招标文件是否齐全，如有缺漏请立即与采购人联系解决。</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63" w:name="_Toc16938527"/>
      <w:r/>
      <w:bookmarkStart w:id="64" w:name="_Toc462564070"/>
      <w:r/>
      <w:bookmarkStart w:id="65" w:name="_Toc513029211"/>
      <w:r/>
      <w:bookmarkStart w:id="66" w:name="_Toc20823283"/>
      <w:r>
        <w:rPr>
          <w:rFonts w:hint="eastAsia" w:ascii="宋体" w:hAnsi="宋体" w:eastAsia="宋体" w:cs="宋体"/>
          <w:color w:val="auto"/>
          <w:highlight w:val="none"/>
        </w:rPr>
        <w:t xml:space="preserve">7.招标文件的澄清</w:t>
      </w:r>
      <w:bookmarkEnd w:id="63"/>
      <w:r/>
      <w:bookmarkEnd w:id="64"/>
      <w:r/>
      <w:bookmarkEnd w:id="65"/>
      <w:r/>
      <w:bookmarkEnd w:id="66"/>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前按招标公告中的通讯地址，以书面形式通知采购人。</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67" w:name="_Toc462564071"/>
      <w:r/>
      <w:bookmarkStart w:id="68" w:name="_Toc20823284"/>
      <w:r/>
      <w:bookmarkStart w:id="69" w:name="_Toc16938528"/>
      <w:r/>
      <w:bookmarkStart w:id="70" w:name="_Toc513029212"/>
      <w:r>
        <w:rPr>
          <w:rFonts w:hint="eastAsia" w:ascii="宋体" w:hAnsi="宋体" w:eastAsia="宋体" w:cs="宋体"/>
          <w:color w:val="auto"/>
          <w:highlight w:val="none"/>
        </w:rPr>
        <w:t xml:space="preserve">8.招标文件的修改</w:t>
      </w:r>
      <w:bookmarkEnd w:id="67"/>
      <w:r/>
      <w:bookmarkEnd w:id="68"/>
      <w:r/>
      <w:bookmarkEnd w:id="69"/>
      <w:r/>
      <w:bookmarkEnd w:id="70"/>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8.1 在投标截止时间前，采购人可以对招标文件进行修改。</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8.2 采购人有权按照法定的要求推迟投标截止日期和开标日期。</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8.3 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71" w:name="_Toc513029213"/>
      <w:r/>
      <w:bookmarkStart w:id="72" w:name="_Toc16938529"/>
      <w:r/>
      <w:bookmarkStart w:id="73" w:name="_Toc20823285"/>
      <w:r/>
      <w:bookmarkStart w:id="74" w:name="_Toc462564072"/>
      <w:r/>
      <w:bookmarkStart w:id="75" w:name="_Toc120614216"/>
      <w:r>
        <w:rPr>
          <w:rFonts w:hint="eastAsia" w:ascii="宋体" w:hAnsi="宋体" w:eastAsia="宋体" w:cs="宋体"/>
          <w:b/>
          <w:color w:val="auto"/>
          <w:highlight w:val="none"/>
        </w:rPr>
        <w:t xml:space="preserve">三、投标文件的编制</w:t>
      </w:r>
      <w:bookmarkEnd w:id="71"/>
      <w:r/>
      <w:bookmarkEnd w:id="72"/>
      <w:r/>
      <w:bookmarkEnd w:id="73"/>
      <w:r/>
      <w:bookmarkEnd w:id="74"/>
      <w:r/>
      <w:bookmarkEnd w:id="75"/>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76" w:name="_Toc462564073"/>
      <w:r/>
      <w:bookmarkStart w:id="77" w:name="_Toc513029214"/>
      <w:r/>
      <w:bookmarkStart w:id="78" w:name="_Toc16938530"/>
      <w:r/>
      <w:bookmarkStart w:id="79" w:name="_Toc20823286"/>
      <w:r>
        <w:rPr>
          <w:rFonts w:hint="eastAsia" w:ascii="宋体" w:hAnsi="宋体" w:eastAsia="宋体" w:cs="宋体"/>
          <w:color w:val="auto"/>
          <w:highlight w:val="none"/>
        </w:rPr>
        <w:t xml:space="preserve">9.投标文件的语言及度量衡单位</w:t>
      </w:r>
      <w:bookmarkEnd w:id="76"/>
      <w:r/>
      <w:bookmarkEnd w:id="77"/>
      <w:r/>
      <w:bookmarkEnd w:id="78"/>
      <w:r/>
      <w:bookmarkEnd w:id="79"/>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9.1 投标人提交的投标文件以及投标人与采购人就有关投标的所有来往通知、函件和文件均应使用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80" w:name="_Toc16938531"/>
      <w:r/>
      <w:bookmarkStart w:id="81" w:name="_Toc513029215"/>
      <w:r/>
      <w:bookmarkStart w:id="82" w:name="_Toc462564074"/>
      <w:r/>
      <w:bookmarkStart w:id="83" w:name="_Toc20823287"/>
      <w:r>
        <w:rPr>
          <w:rFonts w:hint="eastAsia" w:ascii="宋体" w:hAnsi="宋体" w:eastAsia="宋体" w:cs="宋体"/>
          <w:color w:val="auto"/>
          <w:highlight w:val="none"/>
        </w:rPr>
        <w:t xml:space="preserve">10.投标文件构成</w:t>
      </w:r>
      <w:bookmarkEnd w:id="80"/>
      <w:r/>
      <w:bookmarkEnd w:id="81"/>
      <w:r/>
      <w:bookmarkEnd w:id="82"/>
      <w:r/>
      <w:bookmarkEnd w:id="83"/>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发布的招标文件不一致，请以中国政府采购网”“江苏政府采购网”“盐城市政府采购网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发布的招标文件为准。</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84" w:name="_Toc49090509"/>
      <w:r/>
      <w:bookmarkStart w:id="85" w:name="_Toc14577355"/>
      <w:r/>
      <w:bookmarkStart w:id="86" w:name="_Toc49090508"/>
      <w:r/>
      <w:bookmarkStart w:id="87" w:name="_Toc49090507"/>
      <w:r/>
      <w:bookmarkStart w:id="88" w:name="_Toc14577354"/>
      <w:r/>
      <w:bookmarkStart w:id="89" w:name="_Toc513029219"/>
      <w:r/>
      <w:bookmarkStart w:id="90" w:name="_Toc513029216"/>
      <w:r/>
      <w:bookmarkStart w:id="91" w:name="_Toc14577357"/>
      <w:r/>
      <w:bookmarkStart w:id="92" w:name="_Hlt26670360"/>
      <w:r/>
      <w:bookmarkStart w:id="93" w:name="_Hlt26954838"/>
      <w:r/>
      <w:bookmarkStart w:id="94" w:name="_Hlt26668975"/>
      <w:r>
        <w:rPr>
          <w:rFonts w:hint="eastAsia" w:ascii="宋体" w:hAnsi="宋体" w:eastAsia="宋体" w:cs="宋体"/>
          <w:color w:val="auto"/>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11.1 投标人应按照招标文件要求提交证明文件，证明其及投标标的符合招标文件规定。</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12.1 投标人应按照招标文件规定格式填报投标分项报价表。</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95" w:name="_Hlt26954848"/>
      <w:r/>
      <w:bookmarkStart w:id="96" w:name="_Hlt26670482"/>
      <w:r/>
      <w:bookmarkStart w:id="97" w:name="_Hlt26670486"/>
      <w:r/>
      <w:bookmarkStart w:id="98" w:name="_Hlt26954846"/>
      <w:r/>
      <w:bookmarkStart w:id="99" w:name="_Hlt26954731"/>
      <w:r>
        <w:rPr>
          <w:rFonts w:hint="eastAsia" w:ascii="宋体" w:hAnsi="宋体" w:eastAsia="宋体" w:cs="宋体"/>
          <w:color w:val="auto"/>
          <w:highlight w:val="none"/>
        </w:rPr>
        <w:t xml:space="preserve">13.技术要求响应及偏离表、商务要求响应及偏离表</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 投标人需对招标文件中的技术要求与商务要求逐项作出响应或偏离，并说明原因。</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13.2 投标人可在投标文件中提供认为需要的其他技术文件或说明。</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14.服务承诺、培训计划、人员安排及其他</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14.1 投标人需根据招标文件要求提供有关售后服务的管理制度，售后服务机构的分布情况，售后服务人员的数量、素质、技术水平及售后服务的反应能力等。</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 投标人需根据招标文件要求提供培训计划。</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14.3 投标人需根据招标文件要求提供所投标的主要组成部分、功能设计、实现思路及关键技术等。</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00" w:name="_Toc49090510"/>
      <w:r/>
      <w:bookmarkStart w:id="101" w:name="_Toc14577359"/>
      <w:r>
        <w:rPr>
          <w:rFonts w:hint="eastAsia" w:ascii="宋体" w:hAnsi="宋体" w:eastAsia="宋体" w:cs="宋体"/>
          <w:color w:val="auto"/>
          <w:highlight w:val="none"/>
        </w:rPr>
        <w:t xml:space="preserve">15.投标函和开标一览表</w:t>
      </w:r>
      <w:bookmarkEnd w:id="100"/>
      <w:r/>
      <w:bookmarkEnd w:id="101"/>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15.1 投标人应按照招标文件中提供的格式完整、正确填写投标函、开标一览表。</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02" w:name="_Toc49090511"/>
      <w:r/>
      <w:bookmarkStart w:id="103" w:name="_Toc14577360"/>
      <w:r>
        <w:rPr>
          <w:rFonts w:hint="eastAsia" w:ascii="宋体" w:hAnsi="宋体" w:eastAsia="宋体" w:cs="宋体"/>
          <w:color w:val="auto"/>
          <w:highlight w:val="none"/>
        </w:rPr>
        <w:t xml:space="preserve">16.投标有效期</w:t>
      </w:r>
      <w:bookmarkEnd w:id="102"/>
      <w:r/>
      <w:bookmarkEnd w:id="103"/>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16.1投标有效期为采购人规定的开标之日后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17.投标有效期的延长</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104" w:name="_Toc120614217"/>
      <w:r/>
      <w:bookmarkStart w:id="105" w:name="_Toc513029224"/>
      <w:r/>
      <w:bookmarkStart w:id="106" w:name="_Toc16938540"/>
      <w:r/>
      <w:bookmarkStart w:id="107" w:name="_Toc20823296"/>
      <w:r/>
      <w:bookmarkStart w:id="108" w:name="_Hlt26954852"/>
      <w:r/>
      <w:bookmarkStart w:id="109" w:name="_Hlt26954739"/>
      <w:r>
        <w:rPr>
          <w:rFonts w:hint="eastAsia" w:ascii="宋体" w:hAnsi="宋体" w:eastAsia="宋体" w:cs="宋体"/>
          <w:b/>
          <w:color w:val="auto"/>
          <w:highlight w:val="none"/>
        </w:rPr>
        <w:t xml:space="preserve">四、投标文件的递交</w:t>
      </w:r>
      <w:bookmarkEnd w:id="104"/>
      <w:r/>
      <w:bookmarkEnd w:id="105"/>
      <w:r/>
      <w:bookmarkEnd w:id="106"/>
      <w:r/>
      <w:bookmarkEnd w:id="107"/>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10" w:name="_Toc16938541"/>
      <w:r/>
      <w:bookmarkStart w:id="111" w:name="_Toc20823297"/>
      <w:r/>
      <w:bookmarkStart w:id="112" w:name="_Toc462564084"/>
      <w:r/>
      <w:bookmarkStart w:id="113" w:name="_Toc513029225"/>
      <w:r>
        <w:rPr>
          <w:rFonts w:hint="eastAsia" w:ascii="宋体" w:hAnsi="宋体" w:eastAsia="宋体" w:cs="宋体"/>
          <w:color w:val="auto"/>
          <w:highlight w:val="none"/>
        </w:rPr>
        <w:t xml:space="preserve">18.电子投标文件</w:t>
      </w:r>
      <w:bookmarkEnd w:id="110"/>
      <w:r/>
      <w:bookmarkEnd w:id="111"/>
      <w:r/>
      <w:bookmarkEnd w:id="112"/>
      <w:r/>
      <w:bookmarkEnd w:id="113"/>
      <w:r>
        <w:rPr>
          <w:rFonts w:hint="eastAsia" w:ascii="宋体" w:hAnsi="宋体" w:eastAsia="宋体" w:cs="宋体"/>
          <w:color w:val="auto"/>
          <w:highlight w:val="none"/>
        </w:rPr>
        <w:t xml:space="preserve">的递交</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18.1投标人应当按照《操作手册》规定，在投标截止时间前制作并上传电子投标文件。</w:t>
      </w:r>
      <w:bookmarkStart w:id="114" w:name="_Toc20823298"/>
      <w:r/>
      <w:bookmarkEnd w:id="114"/>
      <w:r/>
      <w:bookmarkStart w:id="115" w:name="_Toc16938542"/>
      <w:r/>
      <w:bookmarkEnd w:id="115"/>
      <w:r/>
      <w:bookmarkStart w:id="116" w:name="_Toc513029226"/>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19.投标截止日期</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Cs/>
          <w:color w:val="auto"/>
          <w:highlight w:val="none"/>
          <w:u w:val="single"/>
        </w:rPr>
        <w:t xml:space="preserve">19.1 投标人上传电子投标文件的时间不得迟于招标公告中规定的投标截止时间。</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17" w:name="_Toc20823299"/>
      <w:r/>
      <w:bookmarkStart w:id="118" w:name="_Toc16938543"/>
      <w:r/>
      <w:bookmarkStart w:id="119" w:name="_Toc513029227"/>
      <w:r>
        <w:rPr>
          <w:rFonts w:hint="eastAsia" w:ascii="宋体" w:hAnsi="宋体" w:eastAsia="宋体" w:cs="宋体"/>
          <w:color w:val="auto"/>
          <w:highlight w:val="none"/>
        </w:rPr>
        <w:t xml:space="preserve">20.投标文件</w:t>
      </w:r>
      <w:bookmarkEnd w:id="117"/>
      <w:r/>
      <w:bookmarkEnd w:id="118"/>
      <w:r/>
      <w:bookmarkEnd w:id="119"/>
      <w:r>
        <w:rPr>
          <w:rFonts w:hint="eastAsia" w:ascii="宋体" w:hAnsi="宋体" w:eastAsia="宋体" w:cs="宋体"/>
          <w:color w:val="auto"/>
          <w:highlight w:val="none"/>
        </w:rPr>
        <w:t xml:space="preserve">的拒收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20.1 采购人拒绝接收在其规定的投标截止时间后上传的任何投标文件。</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20" w:name="_Toc513029228"/>
      <w:r/>
      <w:bookmarkStart w:id="121" w:name="_Toc20823300"/>
      <w:r/>
      <w:bookmarkStart w:id="122" w:name="_Toc16938544"/>
      <w:r>
        <w:rPr>
          <w:rFonts w:hint="eastAsia" w:ascii="宋体" w:hAnsi="宋体" w:eastAsia="宋体" w:cs="宋体"/>
          <w:color w:val="auto"/>
          <w:highlight w:val="none"/>
        </w:rPr>
        <w:t xml:space="preserve">21.投标文件的撤回和修改</w:t>
      </w:r>
      <w:bookmarkEnd w:id="120"/>
      <w:r/>
      <w:bookmarkEnd w:id="121"/>
      <w:r/>
      <w:bookmarkEnd w:id="122"/>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 投标文件的撤回</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21.1.1 电子投标文件的撤回</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21.1.2 投标人撤回电子投标文件，则认为其不再参与本项目投标活动。</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 投标文件的修改</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21.2.1投标人可在投标截止时间前，对其电子投标文件进行修改，具体操作方法见《操作手册》。</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21.2.2 在投标截止时间之后，投标人不得对其电子投标文件作任何修改。</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 在投标截止时间至招标文件中规定的投标有效期满之间的这段时间内，投标人不得撤回其投标。</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123" w:name="_Toc120614218"/>
      <w:r/>
      <w:bookmarkStart w:id="124" w:name="_Toc20823301"/>
      <w:r/>
      <w:bookmarkStart w:id="125" w:name="_Toc16938545"/>
      <w:r/>
      <w:bookmarkStart w:id="126" w:name="_Toc513029229"/>
      <w:r>
        <w:rPr>
          <w:rFonts w:hint="eastAsia" w:ascii="宋体" w:hAnsi="宋体" w:eastAsia="宋体" w:cs="宋体"/>
          <w:b/>
          <w:color w:val="auto"/>
          <w:highlight w:val="none"/>
        </w:rPr>
        <w:t xml:space="preserve">五、开标与评标</w:t>
      </w:r>
      <w:bookmarkEnd w:id="123"/>
      <w:r/>
      <w:bookmarkEnd w:id="124"/>
      <w:r/>
      <w:bookmarkEnd w:id="125"/>
      <w:r/>
      <w:bookmarkEnd w:id="126"/>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27" w:name="_Toc513029230"/>
      <w:r/>
      <w:bookmarkStart w:id="128" w:name="_Toc16938546"/>
      <w:r/>
      <w:bookmarkStart w:id="129" w:name="_Toc20823302"/>
      <w:r>
        <w:rPr>
          <w:rFonts w:hint="eastAsia" w:ascii="宋体" w:hAnsi="宋体" w:eastAsia="宋体" w:cs="宋体"/>
          <w:color w:val="auto"/>
          <w:highlight w:val="none"/>
        </w:rPr>
        <w:t xml:space="preserve">22.开标</w:t>
      </w:r>
      <w:bookmarkEnd w:id="127"/>
      <w:r/>
      <w:bookmarkEnd w:id="128"/>
      <w:r/>
      <w:bookmarkEnd w:id="129"/>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 采购人将在招标公告中规定的时间和地点组织公开开标。投标人应当按照《操作手册》规定，参加开标活动和在苏采云系统规定的时间内对投标文件进行解密。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22.2开标仪式由采购人组织。苏采云系统将自动对项目进行开标，并宣布各投标人名称和投标价格。</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22.3 投标人在开标过程中涉及的投标文件解密、开标结果确认等工作，应按照《操作手册》规定执行。</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22.4投标人如果对开标过程和开标记录有疑义，应当根据《操作手册》规定提出，如 苏采云系统中《开标记录表》宣布后5分钟内未提出的，视同认可开标结果。</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30" w:name="_Toc16938547"/>
      <w:r/>
      <w:bookmarkStart w:id="131" w:name="_Toc20823303"/>
      <w:r/>
      <w:bookmarkStart w:id="132" w:name="_Toc513029231"/>
      <w:r>
        <w:rPr>
          <w:rFonts w:hint="eastAsia" w:ascii="宋体" w:hAnsi="宋体" w:eastAsia="宋体" w:cs="宋体"/>
          <w:color w:val="auto"/>
          <w:highlight w:val="none"/>
        </w:rPr>
        <w:t xml:space="preserve">23.评标委员会</w:t>
      </w:r>
      <w:bookmarkEnd w:id="130"/>
      <w:r/>
      <w:bookmarkEnd w:id="131"/>
      <w:r/>
      <w:bookmarkEnd w:id="132"/>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23.1</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开标后，采购人将立即组织评标委员会（以下简称评委会）进行评标。</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23.2 评委会由采购人代表和有关技术、经济等方面的专家组成，且人员构成符合政府采购有关规定。</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23.3评委会独立工作，负责评审所有投标文件并确定中标候选人。</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24.评标过程的保密与公正</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24.1凡是与审查、澄清、评价和比较投标的有关资料以及授标建议等，采购人、评委均不得向投标人或与评标无关的其他人员透露。</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24.2在评标过程中，投标人不得以任何行为影响评标过程，否则其投标文件将被作为无效投标文件。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24.3 采购人和评标委员会不向未中标的投标人解释未中标原因，也不公布评标过程中的相关细节。</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24.4 采用综合评分法的项目，未中标的投标人可于中标结果公告期限届满之日起通过苏采云系统查看自己的评审得分及排序情况。</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33" w:name="_Toc20823304"/>
      <w:r/>
      <w:bookmarkStart w:id="134" w:name="_Toc16938548"/>
      <w:r/>
      <w:bookmarkStart w:id="135" w:name="_Toc513029232"/>
      <w:r>
        <w:rPr>
          <w:rFonts w:hint="eastAsia" w:ascii="宋体" w:hAnsi="宋体" w:eastAsia="宋体" w:cs="宋体"/>
          <w:color w:val="auto"/>
          <w:highlight w:val="none"/>
        </w:rPr>
        <w:t xml:space="preserve">25.投标文件的澄清</w:t>
      </w:r>
      <w:bookmarkEnd w:id="133"/>
      <w:r/>
      <w:bookmarkEnd w:id="134"/>
      <w:r/>
      <w:bookmarkEnd w:id="135"/>
      <w:r/>
      <w:r/>
    </w:p>
    <w:p>
      <w:pPr>
        <w:pStyle w:val="758"/>
        <w:ind w:firstLine="480"/>
        <w:jc w:val="both"/>
        <w:spacing w:beforeAutospacing="0" w:afterAutospacing="0" w:line="480" w:lineRule="exact"/>
        <w:rPr>
          <w:rFonts w:hint="eastAsia" w:ascii="宋体" w:hAnsi="宋体" w:eastAsia="宋体" w:cs="宋体"/>
          <w:color w:val="auto"/>
          <w:highlight w:val="none"/>
        </w:rPr>
      </w:pPr>
      <w:r/>
      <w:bookmarkStart w:id="136" w:name="_Toc16938549"/>
      <w:r/>
      <w:bookmarkStart w:id="137" w:name="_Toc513029233"/>
      <w:r/>
      <w:bookmarkStart w:id="138" w:name="_Toc20823305"/>
      <w:r>
        <w:rPr>
          <w:rFonts w:hint="eastAsia" w:ascii="宋体" w:hAnsi="宋体" w:eastAsia="宋体" w:cs="宋体"/>
          <w:color w:val="auto"/>
          <w:highlight w:val="none"/>
        </w:rPr>
        <w:t xml:space="preserve">25.1 评标期间，评委会对投标文件中含义不明确、同类问题表述不一致或者有明显文字和计算错误的内容 ，有权要求投标人作出必要的澄清、说明或者补正。</w:t>
      </w:r>
      <w:bookmarkEnd w:id="136"/>
      <w:r/>
      <w:bookmarkEnd w:id="137"/>
      <w:r/>
      <w:bookmarkEnd w:id="138"/>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25.3 接到评委会澄清、说明和补正要求的投标人如未按规定作出澄清、说明和补正，其风险由投标人自行承担。</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26.对投标文件的初审</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26.1投标文件初审分为资格审查和符合性审查。</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 资格审查：依据法律法规和招标文件的规定，由采购人对投标文件中的资格证明文件进行审查。资格审查的结论，采购人以书面形式向评委会进行反馈。</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未通过资格审查或符合性审查的投标人，采购人将在苏采云系统中告知未通过资格审查或符合性审查的原因，评审结束后，采购人将不再告知未通过资格审查或符合性审查的原因。</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26.3如果投标文件实质上没有响应招标文件的要求，评委会将予以拒绝，投标人不得通过修改或撤销不合要求的偏离或保留而使其投标成为实质性响应的投标。</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26.4评委会将对确定为实质性响应的投标进行进一步审核，看其是否有计算上或累加上的算术错误，修正错误的原则如下：</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58"/>
        <w:ind w:firstLine="480"/>
        <w:jc w:val="both"/>
        <w:spacing w:beforeAutospacing="0" w:afterAutospacing="0" w:line="480" w:lineRule="exact"/>
        <w:rPr>
          <w:rFonts w:hint="eastAsia" w:ascii="宋体" w:hAnsi="宋体" w:eastAsia="宋体" w:cs="宋体"/>
          <w:color w:val="auto"/>
          <w:highlight w:val="none"/>
        </w:rPr>
      </w:pPr>
      <w:r/>
      <w:bookmarkStart w:id="139" w:name="_Toc20823306"/>
      <w:r/>
      <w:bookmarkStart w:id="140" w:name="_Toc513029234"/>
      <w:r/>
      <w:bookmarkStart w:id="141" w:name="_Toc16938550"/>
      <w:r>
        <w:rPr>
          <w:rFonts w:hint="eastAsia" w:ascii="宋体" w:hAnsi="宋体" w:eastAsia="宋体" w:cs="宋体"/>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26.7投标人在开、评标全过程中应保持通信畅通，及时登录苏采云系统查阅、答复相关信息，并安排专人与采购人及评标委员会联系。</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27.无效投标条款和废标条款</w:t>
      </w:r>
      <w:r/>
    </w:p>
    <w:p>
      <w:pPr>
        <w:pStyle w:val="758"/>
        <w:ind w:firstLine="480"/>
        <w:jc w:val="both"/>
        <w:spacing w:beforeAutospacing="0" w:afterAutospacing="0" w:line="480" w:lineRule="exact"/>
        <w:rPr>
          <w:rFonts w:hint="eastAsia" w:ascii="宋体" w:hAnsi="宋体" w:eastAsia="宋体" w:cs="宋体"/>
          <w:color w:val="auto"/>
          <w:highlight w:val="none"/>
        </w:rPr>
      </w:pPr>
      <w:r/>
      <w:bookmarkStart w:id="142" w:name="_Toc16938551"/>
      <w:r/>
      <w:bookmarkStart w:id="143" w:name="_Toc20823307"/>
      <w:r/>
      <w:bookmarkStart w:id="144" w:name="_Toc513029235"/>
      <w:r>
        <w:rPr>
          <w:rFonts w:hint="eastAsia" w:ascii="宋体" w:hAnsi="宋体" w:eastAsia="宋体" w:cs="宋体"/>
          <w:color w:val="auto"/>
          <w:highlight w:val="none"/>
        </w:rPr>
        <w:t xml:space="preserve">27.1无效投标条款</w:t>
      </w:r>
      <w:bookmarkEnd w:id="142"/>
      <w:r/>
      <w:bookmarkEnd w:id="143"/>
      <w:r/>
      <w:bookmarkEnd w:id="144"/>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 投标人在苏采云系统规定的时间内未成功解密电子投标文件的。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27.1.2 投标人未按照招标文件要求上传电子投标文件的。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27.1.3同一投标人提交两个（含两个）以上不同的投标报价的。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27.1.4投标人不具备招标文件中规定资格要求的。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27.1.5投标人的报价超过了采购预算或最高限价的。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27.1.6未通过符合性审查的。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27.1.9 投标文件含有采购人不能接受的附加条件的。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27.1.10投标人不能证明其报价合理性的，评标委员会应当将其作为无效投标处理。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）评审过程中出现下列情形之一的，评标委员会应当启动异常低价投标审查程序：</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①投标报价低于采购项目预算50%的，即投标报价&lt;采购项目预算×50%；</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②投标报价低于采购项目最高限价45%的，即投标报价&lt;采购项目最高限价×45%；</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③评标委员会认定的供应商报价过低、有可能影响产品质量或者不能诚信履约的其他情形。</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27.1.12 投标文件未按照招标文件要求加盖CA电子公章的。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27.1.13其他法律法规及本招标文件规定的属无效投标的情形。</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27.2废标条款</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27.2.1符合专业条件的供应商或者对招标文件做实质响应的供应商不足三家的。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27.2.2出现影响采购公正的违法、违规行为的。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27.2.3因重大变故，采购任务取消的。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27.2.4评标委员会认定招标文件存在歧义、重大缺陷导致评审工作无法进行。</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27.2.5 因苏采云系统故障原因造成开标不成功的。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 投标截止时间结束后参加投标的供应商不足三家的处理：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27.3.1如出现投标截止时间结束后参加投标的供应商或者在评标期间对招标文件做出实质响应的供应商不足三家情况，按政府采购相关规定执行。</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145" w:name="_Toc120614219"/>
      <w:r>
        <w:rPr>
          <w:rFonts w:hint="eastAsia" w:ascii="宋体" w:hAnsi="宋体" w:eastAsia="宋体" w:cs="宋体"/>
          <w:b/>
          <w:color w:val="auto"/>
          <w:highlight w:val="none"/>
        </w:rPr>
        <w:t xml:space="preserve">六、定标</w:t>
      </w:r>
      <w:bookmarkEnd w:id="145"/>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46" w:name="_Toc20823310"/>
      <w:r/>
      <w:bookmarkStart w:id="147" w:name="_Toc513029238"/>
      <w:r/>
      <w:bookmarkStart w:id="148" w:name="_Toc16938554"/>
      <w:r>
        <w:rPr>
          <w:rFonts w:hint="eastAsia" w:ascii="宋体" w:hAnsi="宋体" w:eastAsia="宋体" w:cs="宋体"/>
          <w:color w:val="auto"/>
          <w:highlight w:val="none"/>
        </w:rPr>
        <w:t xml:space="preserve">28</w:t>
      </w:r>
      <w:bookmarkEnd w:id="146"/>
      <w:r>
        <w:rPr>
          <w:rFonts w:hint="eastAsia" w:ascii="宋体" w:hAnsi="宋体" w:eastAsia="宋体" w:cs="宋体"/>
          <w:color w:val="auto"/>
          <w:highlight w:val="none"/>
        </w:rPr>
        <w:t xml:space="preserve">.确定</w:t>
      </w:r>
      <w:bookmarkEnd w:id="147"/>
      <w:r/>
      <w:bookmarkEnd w:id="148"/>
      <w:r>
        <w:rPr>
          <w:rFonts w:hint="eastAsia" w:ascii="宋体" w:hAnsi="宋体" w:eastAsia="宋体" w:cs="宋体"/>
          <w:color w:val="auto"/>
          <w:highlight w:val="none"/>
        </w:rPr>
        <w:t xml:space="preserve">中标单位</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采购人应根据评委会推荐的中标候选人确定中标人。</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 采购人将在中国政府采购网”“江苏政府采购网”“盐城市政府采购网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发布中标公告，公告期限为1个工作日。</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若有充分证据证明，中标人出现下列情况之一的，一经查实，将被取消中标资格：</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28.4.1提供虚假材料谋取中标的。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28.4.2向采购人行贿或者提供其他不正当利益的。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28.4.3属于本文件规定的无效条件，但在评标过程中又未被评委会发现的。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28.4.4与采购人或者其他供应商恶意串通的。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28.4.5采取不正当手段诋毁、排挤其他供应商的。</w:t>
      </w:r>
      <w:r/>
    </w:p>
    <w:p>
      <w:pPr>
        <w:pStyle w:val="758"/>
        <w:ind w:firstLine="480"/>
        <w:jc w:val="both"/>
        <w:spacing w:beforeAutospacing="0" w:afterAutospacing="0" w:line="480" w:lineRule="exact"/>
        <w:rPr>
          <w:rFonts w:hint="eastAsia" w:ascii="宋体" w:hAnsi="宋体" w:eastAsia="宋体" w:cs="宋体"/>
          <w:color w:val="auto"/>
          <w:highlight w:val="none"/>
        </w:rPr>
      </w:pPr>
      <w:r/>
      <w:bookmarkStart w:id="149" w:name="_Toc200451960"/>
      <w:r>
        <w:rPr>
          <w:rFonts w:hint="eastAsia" w:ascii="宋体" w:hAnsi="宋体" w:eastAsia="宋体" w:cs="宋体"/>
          <w:color w:val="auto"/>
          <w:highlight w:val="none"/>
        </w:rPr>
        <w:t xml:space="preserve">28.5. 有下列情形之一的，视为投标人串通投标，投标无效：</w:t>
      </w:r>
      <w:bookmarkEnd w:id="149"/>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28.5.1不同投标人的投标文件由同一单位或者个人编制；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28.5.2不同投标人委托同一单位或者个人办理投标事宜；</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28.5.3 不同投标人的投标文件载明的项目管理成员或者联系人员为同一人；</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28.5.4不同投标人的投标文件异常一致或者投标报价呈规律性差异；</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29.质疑处理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58"/>
        <w:ind w:firstLine="482"/>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29.2.3对中标或者成交结果提出质疑的，为中标或者成交结果公告期限届满之日。</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采购人只接收以纸质原件形式送达的质疑，采购人不接受未填写快递运单的快件。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29.5.4 未参加投标活动的供应商或在投标活动中自身权益未受到损害的供应商所提出的质疑。</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29.5.5供应商组成联合体参加投标，联合体中任何一方或多方未按要求签字、盖章、加盖公章的质疑。</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30.中标通知书</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58"/>
        <w:ind w:firstLine="482"/>
        <w:jc w:val="both"/>
        <w:keepLines/>
        <w:keepNext/>
        <w:spacing w:beforeAutospacing="0" w:afterAutospacing="0" w:line="480" w:lineRule="exact"/>
        <w:rPr>
          <w:rFonts w:hint="eastAsia" w:ascii="宋体" w:hAnsi="宋体" w:eastAsia="宋体" w:cs="宋体"/>
          <w:color w:val="auto"/>
          <w:highlight w:val="none"/>
        </w:rPr>
      </w:pPr>
      <w:r/>
      <w:bookmarkStart w:id="150" w:name="_Toc20823308"/>
      <w:r/>
      <w:bookmarkStart w:id="151" w:name="_Toc120614220"/>
      <w:r/>
      <w:bookmarkStart w:id="152" w:name="_Toc16938552"/>
      <w:r/>
      <w:bookmarkStart w:id="153" w:name="_Toc513029236"/>
      <w:r>
        <w:rPr>
          <w:rFonts w:hint="eastAsia" w:ascii="宋体" w:hAnsi="宋体" w:eastAsia="宋体" w:cs="宋体"/>
          <w:b/>
          <w:color w:val="auto"/>
          <w:highlight w:val="none"/>
        </w:rPr>
        <w:t xml:space="preserve">七、授予合同</w:t>
      </w:r>
      <w:bookmarkEnd w:id="150"/>
      <w:r/>
      <w:bookmarkEnd w:id="151"/>
      <w:r/>
      <w:bookmarkEnd w:id="152"/>
      <w:r/>
      <w:bookmarkEnd w:id="153"/>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bookmarkStart w:id="154" w:name="_Toc513029237"/>
      <w:r/>
      <w:bookmarkStart w:id="155" w:name="_Toc20823309"/>
      <w:r/>
      <w:bookmarkStart w:id="156" w:name="_Toc16938553"/>
      <w:r>
        <w:rPr>
          <w:rFonts w:hint="eastAsia" w:ascii="宋体" w:hAnsi="宋体" w:eastAsia="宋体" w:cs="宋体"/>
          <w:color w:val="auto"/>
          <w:highlight w:val="none"/>
        </w:rPr>
        <w:t xml:space="preserve">31.签订合同</w:t>
      </w:r>
      <w:bookmarkEnd w:id="154"/>
      <w:r/>
      <w:bookmarkEnd w:id="155"/>
      <w:r/>
      <w:bookmarkEnd w:id="156"/>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31.l中标人应当在中标通知书发出之日起三十日内，按照招标文件确定的事项与采购人签订政府采购合同。</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31.2招标文件、中标人的投标文件及招标过程中有关澄清、承诺文件均应作为合同附件。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32.货物（包含与货物相关的服务）的追加</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758"/>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中小</w:t>
      </w:r>
      <w:r>
        <w:rPr>
          <w:rFonts w:hint="eastAsia" w:ascii="宋体" w:hAnsi="宋体" w:eastAsia="宋体" w:cs="宋体"/>
          <w:color w:val="auto"/>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33.3.7本项目是否专门面向中小企业预留采购份额见第一章《招标公告》。</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rPr>
          <w:rFonts w:hint="eastAsia" w:ascii="宋体" w:hAnsi="宋体" w:eastAsia="宋体" w:cs="宋体"/>
          <w:color w:val="auto"/>
          <w:sz w:val="24"/>
          <w:highlight w:val="none"/>
          <w:lang w:eastAsia="zh-CN"/>
        </w:rPr>
      </w:pPr>
      <w:r>
        <w:rPr>
          <w:rFonts w:ascii="宋体" w:hAnsi="宋体" w:eastAsia="宋体" w:cs="宋体"/>
          <w:color w:val="0000ff"/>
          <w:sz w:val="24"/>
          <w:highlight w:val="none"/>
        </w:rPr>
        <w:t xml:space="preserve">33.4.3</w:t>
      </w:r>
      <w:r>
        <w:rPr>
          <w:rFonts w:hint="eastAsia" w:ascii="宋体" w:hAnsi="宋体" w:eastAsia="宋体" w:cs="宋体"/>
          <w:color w:val="0000ff"/>
          <w:sz w:val="24"/>
          <w:highlight w:val="none"/>
        </w:rPr>
        <w:t xml:space="preserve">本项目中《节能产品政府采购品目清单》中的产品无。《环境标志产品政府采购品目清单》中的产品有裸眼XR终端、偏振式3D学生VR终端、3D VR智慧黑板的显示单元或整机。</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80"/>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采购人优先采购各级政府部门公开发布的有效期内的创新产品、创新服务、首台套、首购首用等《目录》中的创新产品。</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33.8履约保证金政策</w:t>
      </w:r>
      <w:r/>
    </w:p>
    <w:p>
      <w:pPr>
        <w:pStyle w:val="919"/>
        <w:ind w:left="0" w:firstLine="480"/>
        <w:spacing w:after="0"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34.预付款制度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本项目落实预付款制度，预付款比例为30%。在签订合同时，中标供应商明确书面表示无需预付款或者主动要求降低预付款比例的，采购人可就预付款比例做相应调整。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35.代理服务费</w:t>
      </w:r>
      <w:r/>
    </w:p>
    <w:p>
      <w:pPr>
        <w:pStyle w:val="919"/>
        <w:ind w:left="0" w:firstLine="480"/>
        <w:spacing w:after="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代理服务费按苏招协【2022】002号规定标准的</w:t>
      </w:r>
      <w:r>
        <w:rPr>
          <w:rFonts w:hint="eastAsia" w:ascii="宋体" w:hAnsi="宋体" w:eastAsia="宋体" w:cs="宋体"/>
          <w:color w:val="auto"/>
          <w:sz w:val="24"/>
          <w:highlight w:val="none"/>
          <w:u w:val="single"/>
          <w:lang w:val="en-US" w:eastAsia="zh-CN"/>
        </w:rPr>
        <w:t xml:space="preserve">28%</w:t>
      </w:r>
      <w:r>
        <w:rPr>
          <w:rFonts w:hint="eastAsia" w:ascii="宋体" w:hAnsi="宋体" w:eastAsia="宋体" w:cs="宋体"/>
          <w:color w:val="auto"/>
          <w:sz w:val="24"/>
          <w:highlight w:val="none"/>
        </w:rPr>
        <w:t xml:space="preserve">计收，由中标供应商支付。</w:t>
      </w:r>
      <w:r/>
    </w:p>
    <w:p>
      <w:pPr>
        <w:jc w:val="left"/>
        <w:widowControl/>
        <w:rPr>
          <w:color w:val="auto"/>
          <w:sz w:val="36"/>
          <w:szCs w:val="44"/>
          <w:highlight w:val="none"/>
        </w:rPr>
      </w:pPr>
      <w:r>
        <w:rPr>
          <w:color w:val="auto"/>
          <w:sz w:val="36"/>
          <w:szCs w:val="44"/>
          <w:highlight w:val="none"/>
        </w:rPr>
        <w:br w:type="page" w:clear="all"/>
      </w:r>
      <w:r/>
    </w:p>
    <w:p>
      <w:pPr>
        <w:jc w:val="center"/>
        <w:spacing w:line="360" w:lineRule="auto"/>
        <w:widowControl/>
        <w:rPr>
          <w:rFonts w:hint="eastAsia" w:ascii="宋体" w:hAnsi="宋体" w:cs="宋体"/>
          <w:b/>
          <w:color w:val="auto"/>
          <w:sz w:val="48"/>
          <w:szCs w:val="44"/>
          <w:highlight w:val="none"/>
        </w:rPr>
      </w:pPr>
      <w:r>
        <w:rPr>
          <w:color w:val="auto"/>
          <w:sz w:val="36"/>
          <w:szCs w:val="44"/>
          <w:highlight w:val="none"/>
        </w:rPr>
        <w:t xml:space="preserve"> </w:t>
      </w:r>
      <w:bookmarkStart w:id="157" w:name="_Toc479757211"/>
      <w:r/>
      <w:bookmarkStart w:id="158" w:name="_Toc120614244"/>
      <w:r/>
      <w:bookmarkStart w:id="159" w:name="_Toc462564139"/>
      <w:r/>
      <w:bookmarkStart w:id="160" w:name="_Hlt16619350"/>
      <w:r/>
      <w:bookmarkStart w:id="161" w:name="_Toc20823346"/>
      <w:r/>
      <w:bookmarkStart w:id="162" w:name="_Toc16938590"/>
      <w:r/>
      <w:bookmarkStart w:id="163" w:name="_Hlt16619369"/>
      <w:r>
        <w:rPr>
          <w:rFonts w:hint="eastAsia" w:ascii="宋体" w:hAnsi="宋体" w:cs="宋体"/>
          <w:b/>
          <w:color w:val="auto"/>
          <w:sz w:val="48"/>
          <w:szCs w:val="44"/>
          <w:highlight w:val="none"/>
        </w:rPr>
        <w:t xml:space="preserve">第三章  合同条款</w:t>
      </w:r>
      <w:r/>
    </w:p>
    <w:p>
      <w:pPr>
        <w:rPr>
          <w:rFonts w:hint="eastAsia" w:ascii="宋体" w:hAnsi="宋体" w:cs="宋体"/>
          <w:color w:val="auto"/>
          <w:highlight w:val="none"/>
        </w:rPr>
      </w:pPr>
      <w:r/>
      <w:bookmarkStart w:id="164" w:name="EB6d2006462e294de090c16e672cecc3bd"/>
      <w:r/>
      <w:bookmarkEnd w:id="164"/>
      <w:r/>
      <w:r/>
    </w:p>
    <w:p>
      <w:pPr>
        <w:jc w:val="center"/>
        <w:rPr>
          <w:rFonts w:hint="eastAsia" w:ascii="宋体" w:hAnsi="宋体" w:cs="宋体"/>
          <w:b/>
          <w:bCs/>
          <w:color w:val="auto"/>
          <w:spacing w:val="-20"/>
          <w:sz w:val="48"/>
          <w:szCs w:val="48"/>
          <w:highlight w:val="none"/>
        </w:rPr>
      </w:pPr>
      <w:r/>
      <w:bookmarkStart w:id="165" w:name="_Toc3995"/>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bookmarkEnd w:id="165"/>
      <w:r/>
      <w:r/>
    </w:p>
    <w:p>
      <w:pPr>
        <w:jc w:val="center"/>
        <w:keepLines/>
        <w:keepNext/>
        <w:spacing w:line="400" w:lineRule="exact"/>
        <w:rPr>
          <w:rFonts w:hint="eastAsia" w:ascii="黑体" w:hAnsi="华文中宋" w:eastAsia="黑体"/>
          <w:color w:val="auto"/>
          <w:sz w:val="28"/>
          <w:szCs w:val="28"/>
          <w:highlight w:val="none"/>
        </w:rPr>
        <w:outlineLvl w:val="1"/>
      </w:pPr>
      <w:r/>
      <w:bookmarkStart w:id="166"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6"/>
      <w:r/>
      <w:r/>
    </w:p>
    <w:p>
      <w:pPr>
        <w:jc w:val="center"/>
        <w:keepLines/>
        <w:keepNext/>
        <w:spacing w:line="360" w:lineRule="auto"/>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甲方（全称）：</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乙方（全称）：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1.项目信息</w:t>
      </w:r>
      <w:r/>
    </w:p>
    <w:p>
      <w:pPr>
        <w:numPr>
          <w:ilvl w:val="0"/>
          <w:numId w:val="1"/>
        </w:num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采购项目名称：</w:t>
      </w:r>
      <w:r/>
    </w:p>
    <w:p>
      <w:pPr>
        <w:numPr>
          <w:ilvl w:val="255"/>
          <w:numId w:val="0"/>
        </w:numPr>
        <w:spacing w:line="480" w:lineRule="exact"/>
        <w:tabs>
          <w:tab w:val="left" w:pos="99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采购项目编号：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（2）采购计划编号：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采购标的及数量：</w:t>
      </w:r>
      <w:r/>
    </w:p>
    <w:p>
      <w:pPr>
        <w:numPr>
          <w:ilvl w:val="255"/>
          <w:numId w:val="0"/>
        </w:num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品牌及规格型号：</w:t>
      </w:r>
      <w:r/>
    </w:p>
    <w:p>
      <w:pPr>
        <w:ind w:firstLine="10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采购标的的技术要求、商务要求具体见附件。</w:t>
      </w:r>
      <w:r/>
    </w:p>
    <w:p>
      <w:pPr>
        <w:numPr>
          <w:ilvl w:val="255"/>
          <w:numId w:val="0"/>
        </w:numPr>
        <w:ind w:firstLine="10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①涉及信息类产品，请填写该产品关键部件的品牌、型号：</w:t>
      </w:r>
      <w:r/>
    </w:p>
    <w:p>
      <w:pPr>
        <w:numPr>
          <w:ilvl w:val="255"/>
          <w:numId w:val="0"/>
        </w:num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标的名称：</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关键部件：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品牌：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型号：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1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1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numPr>
          <w:ilvl w:val="255"/>
          <w:numId w:val="0"/>
        </w:num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（4）政府采购组织形式：分散采购</w:t>
      </w:r>
      <w:r/>
    </w:p>
    <w:p>
      <w:pPr>
        <w:numPr>
          <w:ilvl w:val="255"/>
          <w:numId w:val="0"/>
        </w:numPr>
        <w:ind w:firstLine="480"/>
        <w:jc w:val="left"/>
        <w:spacing w:line="48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（5）政府采购方式：公开招标</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（6）中标采购标的制造商是否为中小企业：是 否</w:t>
      </w:r>
      <w:r/>
    </w:p>
    <w:p>
      <w:pPr>
        <w:numPr>
          <w:ilvl w:val="255"/>
          <w:numId w:val="0"/>
        </w:numPr>
        <w:spacing w:line="48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   本合同是否为专门面向中小企业的采购合同：</w:t>
      </w:r>
      <w:r>
        <w:rPr>
          <w:rFonts w:hint="eastAsia" w:ascii="宋体" w:hAnsi="宋体" w:eastAsia="宋体" w:cs="宋体"/>
          <w:iCs/>
          <w:color w:val="auto"/>
          <w:sz w:val="24"/>
          <w:highlight w:val="none"/>
        </w:rPr>
        <w:t xml:space="preserve">否</w:t>
      </w:r>
      <w:r/>
    </w:p>
    <w:p>
      <w:pPr>
        <w:numPr>
          <w:ilvl w:val="255"/>
          <w:numId w:val="0"/>
        </w:numPr>
        <w:ind w:firstLine="480"/>
        <w:spacing w:line="48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若本项目不专门面向中小企业采购，是否给予小微企业评审优惠：</w:t>
      </w:r>
      <w:r>
        <w:rPr>
          <w:rFonts w:hint="eastAsia" w:ascii="宋体" w:hAnsi="宋体" w:eastAsia="宋体" w:cs="宋体"/>
          <w:iCs/>
          <w:color w:val="auto"/>
          <w:sz w:val="24"/>
          <w:highlight w:val="none"/>
        </w:rPr>
        <w:t xml:space="preserve">是</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（7）合同是否分包：</w:t>
      </w:r>
      <w:r>
        <w:rPr>
          <w:rFonts w:hint="eastAsia" w:ascii="宋体" w:hAnsi="宋体" w:eastAsia="宋体" w:cs="宋体"/>
          <w:iCs/>
          <w:color w:val="auto"/>
          <w:sz w:val="24"/>
          <w:highlight w:val="none"/>
        </w:rPr>
        <w:t xml:space="preserve">否</w:t>
      </w:r>
      <w:r/>
    </w:p>
    <w:p>
      <w:pPr>
        <w:numPr>
          <w:ilvl w:val="255"/>
          <w:numId w:val="0"/>
        </w:numPr>
        <w:ind w:firstLine="480"/>
        <w:spacing w:line="48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（8）中标供应商是否为外商投资企业：</w:t>
      </w:r>
      <w:r>
        <w:rPr>
          <w:rFonts w:hint="eastAsia" w:ascii="宋体" w:hAnsi="宋体" w:eastAsia="宋体" w:cs="宋体"/>
          <w:iCs/>
          <w:color w:val="auto"/>
          <w:sz w:val="24"/>
          <w:highlight w:val="none"/>
        </w:rPr>
        <w:t xml:space="preserve">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（9）是否涉及进口产品：否</w:t>
      </w:r>
      <w:r/>
    </w:p>
    <w:p>
      <w:pPr>
        <w:numPr>
          <w:ilvl w:val="255"/>
          <w:numId w:val="0"/>
        </w:numPr>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（10）是否涉及节能产品：</w:t>
      </w:r>
      <w:r/>
    </w:p>
    <w:p>
      <w:pPr>
        <w:numPr>
          <w:ilvl w:val="255"/>
          <w:numId w:val="0"/>
        </w:numPr>
        <w:ind w:firstLine="960"/>
        <w:spacing w:line="480" w:lineRule="exact"/>
        <w:tabs>
          <w:tab w:val="left" w:pos="740" w:leader="none"/>
        </w:tabs>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是，《节能产品政府采购品目清单》的底级品目名称：</w:t>
      </w:r>
      <w:r/>
    </w:p>
    <w:p>
      <w:pPr>
        <w:numPr>
          <w:ilvl w:val="255"/>
          <w:numId w:val="0"/>
        </w:numPr>
        <w:ind w:firstLine="96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强制采购优先采购</w:t>
      </w:r>
      <w:r/>
    </w:p>
    <w:p>
      <w:pPr>
        <w:numPr>
          <w:ilvl w:val="255"/>
          <w:numId w:val="0"/>
        </w:numPr>
        <w:ind w:firstLine="96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p>
      <w:pPr>
        <w:numPr>
          <w:ilvl w:val="255"/>
          <w:numId w:val="0"/>
        </w:numPr>
        <w:ind w:firstLine="96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是否涉及环境标志产品：</w:t>
      </w:r>
      <w:r/>
    </w:p>
    <w:p>
      <w:pPr>
        <w:numPr>
          <w:ilvl w:val="255"/>
          <w:numId w:val="0"/>
        </w:numPr>
        <w:ind w:firstLine="96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是，《环境标志产品政府采购品目清单》的底级品目名称：</w:t>
      </w:r>
      <w:r/>
    </w:p>
    <w:p>
      <w:pPr>
        <w:numPr>
          <w:ilvl w:val="255"/>
          <w:numId w:val="0"/>
        </w:numPr>
        <w:ind w:firstLine="84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强制采购优先采购</w:t>
      </w:r>
      <w:r/>
    </w:p>
    <w:p>
      <w:pPr>
        <w:numPr>
          <w:ilvl w:val="255"/>
          <w:numId w:val="0"/>
        </w:numPr>
        <w:ind w:firstLine="96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p>
      <w:pPr>
        <w:numPr>
          <w:ilvl w:val="255"/>
          <w:numId w:val="0"/>
        </w:numPr>
        <w:ind w:firstLine="84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是否涉及绿色产品：</w:t>
      </w:r>
      <w:r/>
    </w:p>
    <w:p>
      <w:pPr>
        <w:ind w:firstLine="90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是，绿色产品政府采购相关政策确定的底级品目名称：</w:t>
      </w:r>
      <w:r/>
    </w:p>
    <w:p>
      <w:pPr>
        <w:numPr>
          <w:ilvl w:val="255"/>
          <w:numId w:val="0"/>
        </w:numPr>
        <w:ind w:firstLine="84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强制采购优先采购</w:t>
      </w:r>
      <w:r/>
    </w:p>
    <w:p>
      <w:pPr>
        <w:ind w:firstLine="90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否</w:t>
      </w:r>
      <w:r/>
    </w:p>
    <w:p>
      <w:pPr>
        <w:numPr>
          <w:ilvl w:val="255"/>
          <w:numId w:val="0"/>
        </w:num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4"/>
          <w:highlight w:val="none"/>
        </w:rPr>
        <w:t xml:space="preserve">þ</w:t>
      </w:r>
      <w:r>
        <w:rPr>
          <w:rFonts w:hint="eastAsia" w:ascii="宋体" w:hAnsi="宋体" w:eastAsia="宋体" w:cs="宋体"/>
          <w:color w:val="auto"/>
          <w:sz w:val="24"/>
          <w:highlight w:val="none"/>
        </w:rPr>
        <w:t xml:space="preserve">是 否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不涉及</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2.合同金额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（1）合同金额小写：</w:t>
      </w:r>
      <w:r/>
    </w:p>
    <w:p>
      <w:pPr>
        <w:ind w:firstLine="60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分包金额（如有）小写：</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（2）付款方式（按项目实际勾选填写，具体详见专用条款第二节第12.2款）：</w:t>
      </w:r>
      <w:r/>
    </w:p>
    <w:p>
      <w:pPr>
        <w:ind w:firstLine="720"/>
        <w:spacing w:line="480" w:lineRule="exact"/>
        <w:rPr>
          <w:rFonts w:hint="eastAsia" w:ascii="宋体" w:hAnsi="宋体" w:eastAsia="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全额付款：</w:t>
      </w:r>
      <w:r>
        <w:rPr>
          <w:rFonts w:hint="eastAsia" w:ascii="宋体" w:hAnsi="宋体" w:eastAsia="宋体" w:cs="宋体"/>
          <w:color w:val="auto"/>
          <w:sz w:val="24"/>
          <w:highlight w:val="none"/>
          <w:u w:val="single"/>
        </w:rPr>
        <w:t xml:space="preserve">     （应明确一次性支付合同款项的条件）                </w:t>
      </w:r>
      <w:r/>
    </w:p>
    <w:p>
      <w:pPr>
        <w:ind w:firstLine="720"/>
        <w:spacing w:line="480" w:lineRule="exact"/>
        <w:rPr>
          <w:rFonts w:hint="eastAsia" w:ascii="宋体" w:hAnsi="宋体" w:eastAsia="宋体" w:cs="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eastAsia="宋体" w:cs="宋体"/>
          <w:color w:val="auto"/>
          <w:sz w:val="24"/>
          <w:highlight w:val="none"/>
        </w:rPr>
        <w:t xml:space="preserve">分期付款：</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①合同签订后支付30%的预付款。</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②验收合格后付至合同价款的90%。</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③验收合格之日起算满</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年后支付清余款。</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④在签订合同时，乙方明确表示无需预付款或者主动要求降低预付款比例的，甲方可不适用上述关于预付款的规定。</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⑤结算款项时乙方须出具相应金额的有效票据。</w:t>
      </w:r>
      <w:r/>
    </w:p>
    <w:p>
      <w:pPr>
        <w:ind w:firstLine="7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⑥甲方原则上自收到发票后10个工作日内将资金支付到乙方账户。</w:t>
      </w:r>
      <w:r/>
    </w:p>
    <w:p>
      <w:pPr>
        <w:ind w:firstLine="720"/>
        <w:spacing w:line="480" w:lineRule="exact"/>
        <w:rPr>
          <w:rFonts w:hint="eastAsia" w:ascii="宋体" w:hAnsi="宋体" w:eastAsia="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成本补偿：</w:t>
      </w:r>
      <w:r>
        <w:rPr>
          <w:rFonts w:hint="eastAsia" w:ascii="宋体" w:hAnsi="宋体" w:eastAsia="宋体" w:cs="宋体"/>
          <w:color w:val="auto"/>
          <w:sz w:val="24"/>
          <w:highlight w:val="none"/>
          <w:u w:val="single"/>
        </w:rPr>
        <w:t xml:space="preserve">      （应明确按照成本补偿方式的支付方式和支付条件）   </w:t>
      </w:r>
      <w:r/>
    </w:p>
    <w:p>
      <w:pPr>
        <w:ind w:firstLine="720"/>
        <w:spacing w:line="480" w:lineRule="exact"/>
        <w:rPr>
          <w:rFonts w:hint="eastAsia" w:ascii="宋体" w:hAnsi="宋体" w:eastAsia="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绩效激励：</w:t>
      </w:r>
      <w:r>
        <w:rPr>
          <w:rFonts w:hint="eastAsia" w:ascii="宋体" w:hAnsi="宋体" w:eastAsia="宋体" w:cs="宋体"/>
          <w:color w:val="auto"/>
          <w:sz w:val="24"/>
          <w:highlight w:val="none"/>
          <w:u w:val="single"/>
        </w:rPr>
        <w:t xml:space="preserve">      （应明确按照绩效激励方式的支付方式和支付条件）   </w:t>
      </w:r>
      <w:r/>
    </w:p>
    <w:p>
      <w:pPr>
        <w:ind w:firstLine="482"/>
        <w:spacing w:line="48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（1）起始日期：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日，完成日期：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（2）履约地点</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 甲方指定地点 </w:t>
      </w:r>
      <w:r>
        <w:rPr>
          <w:rFonts w:hint="eastAsia" w:ascii="宋体" w:hAnsi="宋体" w:eastAsia="宋体" w:cs="宋体"/>
          <w:bCs/>
          <w:color w:val="auto"/>
          <w:sz w:val="24"/>
          <w:highlight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þ</w:t>
      </w:r>
      <w:r>
        <w:rPr>
          <w:rFonts w:hint="eastAsia" w:ascii="宋体" w:hAnsi="宋体" w:eastAsia="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收取履约保证金形式：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收取履约保证金金额：</w:t>
      </w:r>
      <w:r>
        <w:rPr>
          <w:rFonts w:hint="eastAsia" w:ascii="宋体" w:hAnsi="宋体" w:eastAsia="宋体" w:cs="宋体"/>
          <w:bCs/>
          <w:color w:val="auto"/>
          <w:sz w:val="24"/>
          <w:highlight w:val="none"/>
          <w:u w:val="single"/>
        </w:rPr>
        <w:t xml:space="preserve">    叁万元整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r/>
    </w:p>
    <w:p>
      <w:pPr>
        <w:ind w:firstLine="480"/>
        <w:spacing w:line="480" w:lineRule="exact"/>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     履约担保期限：</w:t>
      </w:r>
      <w:r>
        <w:rPr>
          <w:rFonts w:hint="eastAsia" w:ascii="宋体" w:hAnsi="宋体" w:eastAsia="宋体" w:cs="宋体"/>
          <w:bCs/>
          <w:color w:val="auto"/>
          <w:sz w:val="24"/>
          <w:highlight w:val="none"/>
          <w:u w:val="single"/>
        </w:rPr>
        <w:t xml:space="preserve">                                    </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（4）确需收取履约保证金的，履约保证金的缴纳形式：</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如以履约保函（保险）形式缴纳履约保证金，供应商可通过政府采购电子履约保函（保险）平台（www.jsdzbh.com）在线申请履约保函（保险）。</w:t>
      </w:r>
      <w:r/>
    </w:p>
    <w:p>
      <w:pPr>
        <w:pStyle w:val="758"/>
        <w:ind w:left="210" w:firstLine="240"/>
        <w:jc w:val="both"/>
        <w:spacing w:before="120" w:beforeAutospacing="0" w:after="12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t xml:space="preserve">                                 </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（5）分期履行要求：</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（6）风险处置措施和替代方案：</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4.合同验收</w:t>
      </w:r>
      <w:r/>
    </w:p>
    <w:p>
      <w:pPr>
        <w:numPr>
          <w:ilvl w:val="0"/>
          <w:numId w:val="2"/>
        </w:num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委托第三方组织</w:t>
      </w:r>
      <w:r/>
    </w:p>
    <w:p>
      <w:pPr>
        <w:ind w:firstLine="96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验收主体：</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否抽查比例：</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验收组织的其他事项：</w:t>
      </w:r>
      <w:r/>
    </w:p>
    <w:p>
      <w:pPr>
        <w:ind w:firstLine="480"/>
        <w:spacing w:line="48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（2）履约验收时间：</w:t>
      </w:r>
      <w:r>
        <w:rPr>
          <w:rFonts w:hint="eastAsia" w:ascii="宋体" w:hAnsi="宋体" w:eastAsia="宋体" w:cs="宋体"/>
          <w:bCs/>
          <w:color w:val="auto"/>
          <w:sz w:val="24"/>
          <w:highlight w:val="none"/>
          <w:u w:val="single"/>
        </w:rPr>
        <w:t xml:space="preserve">供应商提出验收申请之日起10日内组织验收 </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（3）履约验收方式：一次性验收         </w:t>
      </w:r>
      <w:r/>
    </w:p>
    <w:p>
      <w:pPr>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分期/分项验收：</w:t>
      </w:r>
      <w:r>
        <w:rPr>
          <w:rFonts w:hint="eastAsia" w:ascii="宋体" w:hAnsi="宋体" w:eastAsia="宋体" w:cs="宋体"/>
          <w:bCs/>
          <w:color w:val="auto"/>
          <w:sz w:val="24"/>
          <w:highlight w:val="none"/>
          <w:u w:val="single"/>
        </w:rPr>
        <w:t xml:space="preserve">（应明确分期/分项验收的工作安排）</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（4）履约验收程序：</w:t>
      </w:r>
      <w:r/>
    </w:p>
    <w:p>
      <w:pPr>
        <w:ind w:firstLine="480"/>
        <w:spacing w:line="48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（5）履约验收的内容：</w:t>
      </w:r>
      <w:r>
        <w:rPr>
          <w:rFonts w:hint="eastAsia" w:ascii="宋体" w:hAnsi="宋体" w:eastAsia="宋体" w:cs="宋体"/>
          <w:bCs/>
          <w:color w:val="auto"/>
          <w:sz w:val="24"/>
          <w:highlight w:val="none"/>
          <w:u w:val="single"/>
        </w:rPr>
        <w:t xml:space="preserve">（应当包括每一项技术和商务要求的履约情况，特别是落实政府采购扶持中小企业，支持绿色发展和乡村振兴等政策情况）</w:t>
      </w:r>
      <w:r/>
    </w:p>
    <w:p>
      <w:pPr>
        <w:ind w:firstLine="480"/>
        <w:spacing w:line="48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（6）履约验收标准：</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480"/>
        <w:spacing w:line="48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（8）履约验收其他事项：</w:t>
      </w:r>
      <w:r>
        <w:rPr>
          <w:rFonts w:hint="eastAsia" w:ascii="宋体" w:hAnsi="宋体" w:eastAsia="宋体" w:cs="宋体"/>
          <w:bCs/>
          <w:color w:val="auto"/>
          <w:sz w:val="24"/>
          <w:highlight w:val="none"/>
          <w:u w:val="single"/>
        </w:rPr>
        <w:t xml:space="preserve">（产权过户登记等）</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5.组成合同的文件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本协议书与下列文件一起构成合同文件，如下述文件之间有任何抵触、矛盾或歧义，应按以下顺序解释：</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（1）政府采购合同协议书及其变更、补充协议</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（2）政府采购合同专用条款</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（3）政府采购合同通用条款</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（4）中标通知书</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（5）投标文件</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（6）采购文件</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（7）有关技术文件，图纸</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（8）国家法律、行政法规和规章制度规定或合同约定的作为合同组成部分的其他文件</w:t>
      </w:r>
      <w:r/>
    </w:p>
    <w:p>
      <w:pPr>
        <w:ind w:left="42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6.合同生效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本合同自</w:t>
      </w:r>
      <w:r>
        <w:rPr>
          <w:rFonts w:hint="eastAsia" w:ascii="宋体" w:hAnsi="宋体" w:eastAsia="宋体" w:cs="宋体"/>
          <w:color w:val="auto"/>
          <w:sz w:val="24"/>
          <w:highlight w:val="none"/>
          <w:u w:val="single"/>
        </w:rPr>
        <w:t xml:space="preserve"> 2025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日生效。</w:t>
      </w:r>
      <w:r/>
    </w:p>
    <w:p>
      <w:pPr>
        <w:ind w:left="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7.合同份数</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6 </w:t>
      </w:r>
      <w:r>
        <w:rPr>
          <w:rFonts w:hint="eastAsia" w:ascii="宋体" w:hAnsi="宋体" w:eastAsia="宋体" w:cs="宋体"/>
          <w:color w:val="auto"/>
          <w:sz w:val="24"/>
          <w:highlight w:val="none"/>
        </w:rPr>
        <w:t xml:space="preserve">份，甲方执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份，乙方执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份，均具有同等法律效力。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合同订立时间：</w:t>
      </w:r>
      <w:r>
        <w:rPr>
          <w:rFonts w:hint="eastAsia" w:ascii="宋体" w:hAnsi="宋体" w:eastAsia="宋体" w:cs="宋体"/>
          <w:color w:val="auto"/>
          <w:sz w:val="24"/>
          <w:highlight w:val="none"/>
          <w:u w:val="single"/>
        </w:rPr>
        <w:t xml:space="preserve"> 2025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合同订立地点：</w:t>
      </w:r>
      <w:r>
        <w:rPr>
          <w:rFonts w:hint="eastAsia" w:ascii="宋体" w:hAnsi="宋体" w:eastAsia="宋体" w:cs="宋体"/>
          <w:color w:val="auto"/>
          <w:sz w:val="24"/>
          <w:highlight w:val="none"/>
          <w:u w:val="single"/>
        </w:rPr>
        <w:t xml:space="preserve">                           </w:t>
      </w:r>
      <w:r/>
    </w:p>
    <w:p>
      <w:pPr>
        <w:ind w:firstLine="480"/>
        <w:spacing w:line="480" w:lineRule="exact"/>
        <w:rPr>
          <w:color w:val="auto"/>
          <w:highlight w:val="none"/>
        </w:rPr>
      </w:pPr>
      <w:r>
        <w:rPr>
          <w:rFonts w:hint="eastAsia" w:ascii="宋体" w:hAnsi="宋体" w:eastAsia="宋体" w:cs="宋体"/>
          <w:color w:val="auto"/>
          <w:sz w:val="24"/>
          <w:highlight w:val="none"/>
        </w:rPr>
        <w:t xml:space="preserve">附件：具体标的及其技术要求和商务要求、联合协议、分包意向协议等。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360" w:lineRule="auto"/>
        <w:rPr>
          <w:rFonts w:hint="eastAsia"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738"/>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8"/>
        <w:gridCol w:w="2160"/>
        <w:gridCol w:w="2189"/>
        <w:gridCol w:w="1911"/>
      </w:tblGrid>
      <w:tr>
        <w:trPr>
          <w:jc w:val="cente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（公章或合同章）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jc w:val="center"/>
          <w:trHeight w:val="1171"/>
        </w:trPr>
        <w:tc>
          <w:tcPr>
            <w:tcBorders>
              <w:top w:val="single" w:color="000000" w:sz="2" w:space="0"/>
              <w:right w:val="single" w:color="000000" w:sz="2" w:space="0"/>
            </w:tcBorders>
            <w:tcW w:w="2138"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115"/>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000000" w:sz="2" w:space="0"/>
              <w:left w:val="single" w:color="000000" w:sz="2" w:space="0"/>
              <w:right w:val="single" w:color="000000" w:sz="2" w:space="0"/>
            </w:tcBorders>
            <w:tcW w:w="2160"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83"/>
        </w:trPr>
        <w:tc>
          <w:tcPr>
            <w:tcBorders>
              <w:bottom w:val="single" w:color="000000" w:sz="2" w:space="0"/>
              <w:right w:val="single" w:color="000000" w:sz="2" w:space="0"/>
            </w:tcBorders>
            <w:tcW w:w="2138"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000000" w:sz="2" w:space="0"/>
              <w:bottom w:val="single" w:color="000000" w:sz="2" w:space="0"/>
              <w:right w:val="single" w:color="000000" w:sz="2" w:space="0"/>
            </w:tcBorders>
            <w:tcW w:w="2160"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拥有者性别</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住所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开户名称</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586"/>
        </w:trPr>
        <w:tc>
          <w:tcPr>
            <w:gridSpan w:val="4"/>
            <w:tcBorders>
              <w:top w:val="single" w:color="000000" w:sz="2" w:space="0"/>
            </w:tcBorders>
            <w:tcW w:w="8398" w:type="dxa"/>
            <w:vAlign w:val="center"/>
            <w:textDirection w:val="lrTb"/>
            <w:noWrap w:val="false"/>
          </w:tcPr>
          <w:p>
            <w:pPr>
              <w:jc w:val="left"/>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z w:val="24"/>
                <w:highlight w:val="none"/>
              </w:rPr>
              <w:t xml:space="preserve">注：涉及联合体或其他合同主体的信息应按上表格式加列。</w:t>
            </w:r>
            <w:r/>
          </w:p>
        </w:tc>
      </w:tr>
    </w:tbl>
    <w:p>
      <w:pPr>
        <w:pStyle w:val="729"/>
        <w:jc w:val="center"/>
        <w:spacing w:before="156"/>
        <w:rPr>
          <w:rFonts w:ascii="黑体" w:hAnsi="黑体" w:eastAsia="黑体"/>
          <w:color w:val="auto"/>
          <w:sz w:val="28"/>
          <w:szCs w:val="28"/>
          <w:highlight w:val="none"/>
        </w:rPr>
      </w:pPr>
      <w:r>
        <w:rPr>
          <w:color w:val="auto"/>
          <w:highlight w:val="none"/>
          <w:u w:val="single"/>
        </w:rPr>
        <w:br w:type="page" w:clear="all"/>
      </w:r>
      <w:bookmarkStart w:id="167" w:name="_Toc27624"/>
      <w:r/>
      <w:bookmarkStart w:id="168" w:name="_Toc20313"/>
      <w:r>
        <w:rPr>
          <w:rFonts w:ascii="黑体" w:hAnsi="黑体" w:eastAsia="黑体"/>
          <w:b w:val="0"/>
          <w:bCs w:val="0"/>
          <w:color w:val="auto"/>
          <w:sz w:val="28"/>
          <w:szCs w:val="28"/>
          <w:highlight w:val="none"/>
        </w:rPr>
        <w:t xml:space="preserve">第二节 政府采购合同通用条款</w:t>
      </w:r>
      <w:bookmarkEnd w:id="167"/>
      <w:r/>
      <w:r/>
    </w:p>
    <w:p>
      <w:pPr>
        <w:ind w:firstLine="482"/>
        <w:jc w:val="left"/>
        <w:spacing w:line="480" w:lineRule="exact"/>
        <w:tabs>
          <w:tab w:val="left" w:pos="8820" w:leader="none"/>
          <w:tab w:val="left" w:pos="9345" w:leader="none"/>
          <w:tab w:val="left" w:pos="9765" w:leader="none"/>
        </w:tabs>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highlight w:val="none"/>
        </w:rPr>
        <w:t xml:space="preserve">定义</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1.1合同当事人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（1）采购人（以下称甲方）是指使用财政性资金，通过政府采购方式向供应商购买货物及其相关服务的国家机关、事业单位、团体组织。</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（3）其他合同主体是指除采购人和供应商以外，</w:t>
      </w:r>
      <w:r>
        <w:rPr>
          <w:rFonts w:hint="eastAsia" w:ascii="宋体" w:hAnsi="宋体" w:eastAsia="宋体" w:cs="宋体"/>
          <w:bCs/>
          <w:color w:val="auto"/>
          <w:sz w:val="24"/>
          <w:highlight w:val="none"/>
        </w:rPr>
        <w:t xml:space="preserve">依法参与合同缔结或履行，享有权利、承担义务的合同当事人</w:t>
      </w:r>
      <w:r>
        <w:rPr>
          <w:rFonts w:hint="eastAsia" w:ascii="宋体" w:hAnsi="宋体" w:eastAsia="宋体" w:cs="宋体"/>
          <w:color w:val="auto"/>
          <w:sz w:val="24"/>
          <w:highlight w:val="none"/>
        </w:rPr>
        <w:t xml:space="preserve">。</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1.2本合同下列术语应解释为：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（1）“合同”系指</w:t>
      </w:r>
      <w:r>
        <w:rPr>
          <w:rFonts w:hint="eastAsia" w:ascii="宋体" w:hAnsi="宋体" w:eastAsia="宋体" w:cs="宋体"/>
          <w:bCs/>
          <w:color w:val="auto"/>
          <w:sz w:val="24"/>
          <w:highlight w:val="none"/>
        </w:rPr>
        <w:t xml:space="preserve">合同当事人意思表示达成一致的任何协议，包括签署的</w:t>
      </w:r>
      <w:r>
        <w:rPr>
          <w:rFonts w:hint="eastAsia" w:ascii="宋体" w:hAnsi="宋体" w:eastAsia="宋体" w:cs="宋体"/>
          <w:color w:val="auto"/>
          <w:sz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（2）“合同价款”系指根据本合同规定乙方在全面履行合同义务后甲方应支付给乙方的价款。</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技术资料和材料等。</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（4）“相关服务”系指根据合同规定，乙方应提供的与货物有关的技术、管理和</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（7）其他术语解释，见【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color w:val="auto"/>
          <w:sz w:val="24"/>
          <w:highlight w:val="none"/>
        </w:rPr>
        <w:t xml:space="preserve">合同标的及金额</w:t>
      </w:r>
      <w:r/>
    </w:p>
    <w:p>
      <w:pPr>
        <w:ind w:firstLine="480"/>
        <w:jc w:val="left"/>
        <w:spacing w:line="480" w:lineRule="exact"/>
        <w:rPr>
          <w:rFonts w:hint="eastAsia" w:ascii="宋体" w:hAnsi="宋体" w:eastAsia="宋体" w:cs="宋体"/>
          <w:b/>
          <w:bCs/>
          <w:i/>
          <w:iCs/>
          <w:color w:val="auto"/>
          <w:sz w:val="24"/>
          <w:highlight w:val="none"/>
        </w:rPr>
      </w:pPr>
      <w:r>
        <w:rPr>
          <w:rFonts w:hint="eastAsia" w:ascii="宋体" w:hAnsi="宋体" w:eastAsia="宋体" w:cs="宋体"/>
          <w:color w:val="auto"/>
          <w:sz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任何费用。</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 履行合同的时间、地点和方式</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乙方应当在约定的时间、地点，按照约定方式履行合同。</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甲方的权利和义务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甲方有权要求乙方对缺陷部分予以修复，并按合同约定享有货物保修及其他合同约定的权利。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甲方应当按照合同约定及时对交付的货物进行验收，未在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约定的期限内对乙方履约提出任何异议或者向乙方作出任何说明的，视为验收通过。</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甲方应当根据合同约定及时向乙方支付合同价款，不得以内部人员变更、履行内部付款流程等为由，拒绝或迟延支付。</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国家法律法规规定及</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约定应由甲方承担的其他义务和责任。</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 乙方的权利和义务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签署合同后，乙方应确定项目负责人（或项目联系人），负责与本合同有关的事务。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42"/>
        <w:ind w:firstLine="48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742"/>
        <w:ind w:firstLine="48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3"/>
        </w:num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甲乙双方应当按照</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约定顺序履行合同义务；如果没有先后顺序的，应当同时履行。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 货物包装、运输、保险和交付要求</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本合同</w:t>
      </w:r>
      <w:r>
        <w:rPr>
          <w:rFonts w:hint="eastAsia" w:ascii="宋体" w:hAnsi="宋体" w:eastAsia="宋体" w:cs="宋体"/>
          <w:bCs/>
          <w:color w:val="auto"/>
          <w:sz w:val="24"/>
          <w:highlight w:val="none"/>
        </w:rPr>
        <w:t xml:space="preserve">涉及商品包装、快递包装的，</w:t>
      </w:r>
      <w:r>
        <w:rPr>
          <w:rFonts w:hint="eastAsia" w:ascii="宋体" w:hAnsi="宋体" w:eastAsia="宋体" w:cs="宋体"/>
          <w:color w:val="auto"/>
          <w:sz w:val="24"/>
          <w:highlight w:val="none"/>
        </w:rPr>
        <w:t xml:space="preserve">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包装应适应远距离运输、防潮、防震、防锈和防野蛮装卸等要求，确保货物安全无损地运抵</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约定的</w:t>
      </w:r>
      <w:r>
        <w:rPr>
          <w:rFonts w:hint="eastAsia" w:ascii="宋体" w:hAnsi="宋体" w:eastAsia="宋体" w:cs="宋体"/>
          <w:color w:val="auto"/>
          <w:sz w:val="24"/>
          <w:highlight w:val="none"/>
        </w:rPr>
        <w:t xml:space="preserve">指定现场。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乙方负责办理将货物运抵本合同规定的交货地点，并装卸、交付至甲方的一切运输事项，相关费用应包含在合同价款中。</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货物保险要求按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规定执行</w:t>
      </w:r>
      <w:r>
        <w:rPr>
          <w:rFonts w:hint="eastAsia" w:ascii="宋体" w:hAnsi="宋体" w:eastAsia="宋体" w:cs="宋体"/>
          <w:color w:val="auto"/>
          <w:sz w:val="24"/>
          <w:highlight w:val="none"/>
        </w:rPr>
        <w:t xml:space="preserve">。</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乙方在运输到达之前应提前通知甲方，并提示货物运输装卸的注意事项，甲方配合乙方做好货物的接收工作。</w:t>
      </w:r>
      <w:r/>
    </w:p>
    <w:p>
      <w:pPr>
        <w:pStyle w:val="91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 质量标准和保证</w:t>
      </w:r>
      <w:r/>
    </w:p>
    <w:p>
      <w:pPr>
        <w:pStyle w:val="745"/>
        <w:ind w:firstLine="480"/>
        <w:jc w:val="left"/>
        <w:spacing w:line="480" w:lineRule="exact"/>
        <w:rPr>
          <w:rFonts w:hint="eastAsia" w:hAnsi="宋体" w:eastAsia="宋体" w:cs="宋体"/>
          <w:b/>
          <w:color w:val="auto"/>
          <w:sz w:val="24"/>
          <w:szCs w:val="24"/>
          <w:highlight w:val="none"/>
        </w:rPr>
      </w:pPr>
      <w:r>
        <w:rPr>
          <w:rFonts w:hint="eastAsia" w:hAnsi="宋体" w:eastAsia="宋体" w:cs="宋体"/>
          <w:color w:val="auto"/>
          <w:sz w:val="24"/>
          <w:szCs w:val="24"/>
          <w:highlight w:val="none"/>
        </w:rPr>
        <w:t xml:space="preserve">8.1 质量标准</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5"/>
        <w:ind w:firstLine="480"/>
        <w:jc w:val="left"/>
        <w:spacing w:line="48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（2）采用中华人民共和国法定计量单位。</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（3）乙方所提供的货物应符合国家有关安全、环保、卫生的规定。</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保证</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规定或乙方书面承诺（两者以较长的为准）的质量保证期内，本保证保持有效。</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（2）在质量保证期内所发现的缺陷，甲方应尽快以书面形式通知乙方。</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（3）乙方收到通知后，应在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规定的响应时间内以合理的速度免费维修或更换有缺陷的货物或部件。</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权利瑕疵担保</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乙方保证对其出售的货物享有合法的权利。</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乙方保证在交付的货物上不存在抵押权等担保物权。</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 如甲方使用上述货物构成对第三人侵权的，则由乙方承担全部责任。</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 知识产权保护</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乙方对其所销售的货物应当享有知识产权或经权利人合法授权，保证没有侵犯任何第三人的知识产权等权利。</w:t>
      </w:r>
      <w:bookmarkStart w:id="169" w:name="_Hlk163047038"/>
      <w:r>
        <w:rPr>
          <w:rFonts w:hint="eastAsia" w:ascii="宋体" w:hAnsi="宋体" w:eastAsia="宋体" w:cs="宋体"/>
          <w:color w:val="auto"/>
          <w:sz w:val="24"/>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eastAsia="宋体" w:cs="宋体"/>
          <w:color w:val="auto"/>
          <w:sz w:val="24"/>
          <w:highlight w:val="none"/>
        </w:rPr>
        <w:t xml:space="preserve">。</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 保密义务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中约定。</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合同价款支付</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合同价款支付按照国库集中支付制度及财政管理相关规定执行。</w:t>
      </w:r>
      <w:r/>
    </w:p>
    <w:p>
      <w:pPr>
        <w:pStyle w:val="729"/>
        <w:ind w:firstLine="480"/>
        <w:spacing w:beforeAutospacing="0" w:afterAutospacing="0" w:line="480" w:lineRule="exact"/>
        <w:rPr>
          <w:rFonts w:cs="宋体"/>
          <w:color w:val="auto"/>
          <w:sz w:val="24"/>
          <w:szCs w:val="24"/>
          <w:highlight w:val="none"/>
        </w:rPr>
      </w:pPr>
      <w:r>
        <w:rPr>
          <w:rFonts w:cs="宋体"/>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cs="宋体"/>
          <w:color w:val="auto"/>
          <w:sz w:val="24"/>
          <w:szCs w:val="24"/>
          <w:highlight w:val="none"/>
        </w:rPr>
        <w:t xml:space="preserve">政府采购合同专用条款</w:t>
      </w:r>
      <w:r>
        <w:rPr>
          <w:rFonts w:cs="宋体"/>
          <w:b w:val="0"/>
          <w:bCs w:val="0"/>
          <w:color w:val="auto"/>
          <w:sz w:val="24"/>
          <w:szCs w:val="24"/>
          <w:highlight w:val="none"/>
        </w:rPr>
        <w:t xml:space="preserve">】中约定。</w:t>
      </w:r>
      <w:r/>
    </w:p>
    <w:p>
      <w:pPr>
        <w:pStyle w:val="742"/>
        <w:ind w:firstLine="482"/>
        <w:spacing w:after="0"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乙方应当以支票、汇票、本票或者金融机构、担保机构出具的保函等非现金形式提交。</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如果乙方出现</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甲方在项目通过验收后按照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规定支付。</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 xml:space="preserve">售后服务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除项目不涉及或采购活动中明确约定无须承担外，乙方还应提供下列服务：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（1）货物的现场移动、安装、调试、启动监督及技术支持；</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（2）提供货物组装和维修所需的专用工具和辅助材料；</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约定的期限内对所有的货物实施运行监督、维修，但前提条件是该服务并不能免除乙方在质量保证期内所承担的义务；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（4）在制造商所在地或指定现场就货物的安装、启动、运营、维护、废弃处置等对甲方操作人员进行培训；</w:t>
      </w:r>
      <w:r/>
    </w:p>
    <w:p>
      <w:pPr>
        <w:pStyle w:val="91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规定由乙方提供的其他服务。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乙方提供的售后服务的费用已包含在合同价款中，甲方不再另行支付。</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违约责任</w:t>
      </w:r>
      <w:r/>
    </w:p>
    <w:p>
      <w:pPr>
        <w:ind w:firstLine="480"/>
        <w:jc w:val="left"/>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15.1质量瑕疵的违约责任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要求</w:t>
      </w:r>
      <w:r>
        <w:rPr>
          <w:rFonts w:hint="eastAsia" w:ascii="宋体" w:hAnsi="宋体" w:eastAsia="宋体" w:cs="宋体"/>
          <w:color w:val="auto"/>
          <w:sz w:val="24"/>
          <w:highlight w:val="none"/>
        </w:rPr>
        <w:t xml:space="preserve">及时修理、重作、更换，并承担由此给甲方造成的损失。</w:t>
      </w:r>
      <w:r/>
    </w:p>
    <w:p>
      <w:pPr>
        <w:ind w:firstLine="480"/>
        <w:jc w:val="left"/>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15.2 迟延交货的违约责任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规定执行。如果涉及公共利益，且赔偿金额无法弥补公共利益损失，甲方可要求继续履行或者采取其他补救措施。</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迟延支付的违约责任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甲方存在迟延支付乙方合同款项的，应当承担</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规定的逾期付款利息。</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15.4其他违约责任根据项目实际需要按</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规定执行。</w:t>
      </w:r>
      <w:r/>
    </w:p>
    <w:p>
      <w:pPr>
        <w:ind w:firstLine="482"/>
        <w:jc w:val="left"/>
        <w:spacing w:line="480" w:lineRule="exact"/>
        <w:rPr>
          <w:rFonts w:hint="eastAsia" w:ascii="宋体" w:hAnsi="宋体" w:eastAsia="宋体" w:cs="宋体"/>
          <w:b/>
          <w:color w:val="auto"/>
          <w:sz w:val="24"/>
          <w:highlight w:val="none"/>
        </w:rPr>
      </w:pPr>
      <w:r>
        <w:rPr>
          <w:rFonts w:ascii="宋体" w:hAnsi="宋体" w:eastAsia="宋体" w:cs="宋体"/>
          <w:b/>
          <w:color w:val="auto"/>
          <w:sz w:val="24"/>
          <w:highlight w:val="none"/>
        </w:rPr>
        <w:t xml:space="preserve">16.</w:t>
      </w:r>
      <w:r>
        <w:rPr>
          <w:rFonts w:hint="eastAsia" w:ascii="宋体" w:hAnsi="宋体" w:eastAsia="宋体" w:cs="宋体"/>
          <w:b/>
          <w:color w:val="auto"/>
          <w:sz w:val="24"/>
          <w:highlight w:val="none"/>
        </w:rPr>
        <w:t xml:space="preserve">合同变更、中止与终止</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16.1合同的变更</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16.2合同的中止</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（1）合同履行过程中因供应商就采购文件、采购过程或结果提起投诉的，甲方认为有必要的，可以中止合同的履行。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（4）甲方不得以行政区划调整、政府换届、机构或者职能调整以及相关责任人更替为由中止合同。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16.3合同的终止</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（1）合同因有效期限届满而终止；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（2）乙方未按合同约定履行，构成根本性违约的，甲方有权终止合同，并追究乙方的违约责任。</w:t>
      </w:r>
      <w:r/>
    </w:p>
    <w:p>
      <w:pPr>
        <w:pStyle w:val="916"/>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合同分包</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乙方不得将合同转包给其他供应商。涉及合同分包的，乙方应根据采购文件和投标（响应）文件规定进行合同分包。</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乙方执行政府采购政策向中小企业依法分包的，乙方应当按采购文件和投标（响应）文件签订分包意向协议，分包意向协议属于本合同组成部分。</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不可抗力</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不可抗力是指合同双方不能预见、不能避免且不能克服的客观情况。</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任何一方对由于不可抗力造成的部分或全部不能履行合同不承担违约责任。但迟延履行后发生不可抗力的，不能免除责任。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 解决争议的方法</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20. 政府采购政策</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w:t>
      </w:r>
      <w:r>
        <w:rPr>
          <w:rFonts w:hint="eastAsia" w:ascii="宋体" w:hAnsi="宋体" w:eastAsia="宋体" w:cs="宋体"/>
          <w:color w:val="auto"/>
          <w:sz w:val="24"/>
          <w:highlight w:val="none"/>
          <w:lang w:val="en-GB"/>
        </w:rPr>
        <w:t xml:space="preserve">本合同应当按照规定执行政府采购政策。</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 本合同依法执行政府采购政策的方式和内容，属于合同履约验收的范围。甲乙双方</w:t>
      </w:r>
      <w:r>
        <w:rPr>
          <w:rFonts w:hint="eastAsia" w:ascii="宋体" w:hAnsi="宋体" w:eastAsia="宋体" w:cs="宋体"/>
          <w:color w:val="auto"/>
          <w:sz w:val="24"/>
          <w:highlight w:val="none"/>
          <w:lang w:val="en-GB"/>
        </w:rPr>
        <w:t xml:space="preserve">未按规定要求执行政府采购政策造成损失的</w:t>
      </w:r>
      <w:r>
        <w:rPr>
          <w:rFonts w:hint="eastAsia" w:ascii="宋体" w:hAnsi="宋体" w:eastAsia="宋体" w:cs="宋体"/>
          <w:color w:val="auto"/>
          <w:sz w:val="24"/>
          <w:highlight w:val="none"/>
        </w:rPr>
        <w:t xml:space="preserve">，有过错的一方应当承担赔偿责任，双方都有过错的，各自承担相应的责任。</w:t>
      </w:r>
      <w:r/>
    </w:p>
    <w:p>
      <w:pPr>
        <w:pStyle w:val="742"/>
        <w:ind w:firstLine="48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法律适用</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 通知</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916"/>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22.3本合同一方给另一方的通知均应采用书面形式，传真或快递送到本合同中规定的对方的地址和办理签收手续。</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22.4通知以送达之日或通知书中规定的生效之日起生效，两者中以较迟之日为准。</w:t>
      </w:r>
      <w:r/>
    </w:p>
    <w:p>
      <w:pPr>
        <w:numPr>
          <w:ilvl w:val="0"/>
          <w:numId w:val="4"/>
        </w:num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80"/>
        <w:jc w:val="left"/>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23.1合同未尽事项见</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w:t>
      </w:r>
      <w:r/>
    </w:p>
    <w:p>
      <w:pPr>
        <w:ind w:firstLine="480"/>
        <w:jc w:val="left"/>
        <w:spacing w:line="480" w:lineRule="exact"/>
        <w:rPr>
          <w:rFonts w:hint="eastAsia" w:ascii="黑体" w:hAnsi="华文中宋" w:eastAsia="黑体"/>
          <w:color w:val="auto"/>
          <w:sz w:val="28"/>
          <w:szCs w:val="28"/>
          <w:highlight w:val="none"/>
        </w:rPr>
      </w:pPr>
      <w:r>
        <w:rPr>
          <w:rFonts w:hint="eastAsia" w:ascii="宋体" w:hAnsi="宋体" w:eastAsia="宋体" w:cs="宋体"/>
          <w:bCs/>
          <w:color w:val="auto"/>
          <w:sz w:val="24"/>
          <w:highlight w:val="none"/>
        </w:rPr>
        <w:t xml:space="preserve">23.2 合同附件与合同正文具有同等的法律效力。</w:t>
      </w:r>
      <w:r/>
    </w:p>
    <w:p>
      <w:pPr>
        <w:jc w:val="center"/>
        <w:keepLines/>
        <w:keepNext/>
        <w:spacing w:line="360" w:lineRule="auto"/>
        <w:rPr>
          <w:rFonts w:hint="eastAsia"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hint="eastAsia" w:ascii="宋体" w:hAnsi="宋体" w:eastAsia="宋体" w:cs="宋体"/>
          <w:color w:val="auto"/>
          <w:sz w:val="24"/>
          <w:highlight w:val="none"/>
        </w:rPr>
        <w:outlineLvl w:val="1"/>
      </w:pPr>
      <w:r>
        <w:rPr>
          <w:rFonts w:hint="eastAsia" w:ascii="宋体" w:hAnsi="宋体" w:eastAsia="宋体" w:cs="宋体"/>
          <w:b/>
          <w:bCs/>
          <w:color w:val="auto"/>
          <w:sz w:val="28"/>
          <w:szCs w:val="28"/>
          <w:highlight w:val="none"/>
        </w:rPr>
        <w:t xml:space="preserve">第三节 政府采购合同专用条款</w:t>
      </w:r>
      <w:bookmarkEnd w:id="168"/>
      <w:r/>
      <w:r/>
    </w:p>
    <w:tbl>
      <w:tblPr>
        <w:tblStyle w:val="738"/>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91"/>
        <w:gridCol w:w="2098"/>
        <w:gridCol w:w="4530"/>
      </w:tblGrid>
      <w:tr>
        <w:trPr>
          <w:jc w:val="center"/>
          <w:trHeight w:val="196"/>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第1.2（6）项</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联合体具体要求</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6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第1.2（7）项</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其他术语解释</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第4.4款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履约验收中甲方提出异议或作出说明的期限</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第4.6款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约定甲方承担的其他义务和责任</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第5.4款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约定乙方承担的其他义务和责任</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第6.1款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履行合同义务的顺序</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0"/>
        </w:trPr>
        <w:tc>
          <w:tcPr>
            <w:tcW w:w="1891" w:type="dxa"/>
            <w:vAlign w:val="center"/>
            <w:vMerge w:val="restart"/>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第7.1款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包装特殊要求</w:t>
            </w:r>
            <w:r/>
          </w:p>
        </w:tc>
        <w:tc>
          <w:tcPr>
            <w:tcW w:w="453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tc>
      </w:tr>
      <w:tr>
        <w:trPr>
          <w:jc w:val="center"/>
          <w:trHeight w:val="179"/>
        </w:trPr>
        <w:tc>
          <w:tcPr>
            <w:tcW w:w="1891" w:type="dxa"/>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指定现场</w:t>
            </w:r>
            <w:r/>
          </w:p>
        </w:tc>
        <w:tc>
          <w:tcPr>
            <w:tcW w:w="4530" w:type="dxa"/>
            <w:vAlign w:val="center"/>
            <w:textDirection w:val="lrTb"/>
            <w:noWrap w:val="false"/>
          </w:tcPr>
          <w:p>
            <w:pPr>
              <w:jc w:val="left"/>
              <w:rPr>
                <w:color w:val="auto"/>
                <w:sz w:val="24"/>
                <w:highlight w:val="none"/>
              </w:rPr>
            </w:pPr>
            <w:r>
              <w:rPr>
                <w:color w:val="auto"/>
                <w:sz w:val="24"/>
                <w:highlight w:val="none"/>
              </w:rPr>
            </w:r>
            <w:r/>
          </w:p>
        </w:tc>
      </w:tr>
      <w:tr>
        <w:trPr>
          <w:jc w:val="center"/>
          <w:trHeight w:val="332"/>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第7.2款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运输特殊要求</w:t>
            </w:r>
            <w:r/>
          </w:p>
        </w:tc>
        <w:tc>
          <w:tcPr>
            <w:tcW w:w="453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916"/>
              <w:ind w:firstLine="0"/>
              <w:spacing w:line="24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916"/>
              <w:ind w:firstLine="0"/>
              <w:spacing w:line="240" w:lineRule="auto"/>
              <w:rPr>
                <w:rFonts w:hint="eastAsia"/>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jc w:val="center"/>
          <w:trHeight w:val="179"/>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第7.3款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保险要求</w:t>
            </w:r>
            <w:r/>
          </w:p>
        </w:tc>
        <w:tc>
          <w:tcPr>
            <w:tcW w:w="453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jc w:val="center"/>
          <w:trHeight w:val="414"/>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第8.2（1）项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质量保证期</w:t>
            </w:r>
            <w:r/>
          </w:p>
        </w:tc>
        <w:tc>
          <w:tcPr>
            <w:tcW w:w="4530" w:type="dxa"/>
            <w:vAlign w:val="center"/>
            <w:textDirection w:val="lrTb"/>
            <w:noWrap w:val="false"/>
          </w:tcPr>
          <w:p>
            <w:pPr>
              <w:pStyle w:val="758"/>
              <w:jc w:val="both"/>
              <w:spacing w:beforeAutospacing="0" w:afterAutospacing="0"/>
              <w:rPr>
                <w:rFonts w:hint="eastAsia" w:ascii="宋体" w:hAnsi="宋体"/>
                <w:color w:val="auto"/>
                <w:highlight w:val="none"/>
              </w:rPr>
            </w:pPr>
            <w:r>
              <w:rPr>
                <w:rFonts w:hint="eastAsia" w:ascii="宋体" w:hAnsi="宋体"/>
                <w:color w:val="auto"/>
                <w:highlight w:val="none"/>
              </w:rPr>
              <w:t xml:space="preserve">货物免费质保期</w:t>
            </w:r>
            <w:r>
              <w:rPr>
                <w:rFonts w:hint="eastAsia" w:ascii="宋体" w:hAnsi="宋体"/>
                <w:color w:val="auto"/>
                <w:highlight w:val="none"/>
                <w:u w:val="single"/>
                <w:lang w:val="en-US" w:eastAsia="zh-CN"/>
              </w:rPr>
              <w:t xml:space="preserve">3</w:t>
            </w:r>
            <w:r>
              <w:rPr>
                <w:rFonts w:hint="eastAsia" w:ascii="宋体" w:hAnsi="宋体"/>
                <w:color w:val="auto"/>
                <w:highlight w:val="none"/>
              </w:rPr>
              <w:t xml:space="preserve">年。（</w:t>
            </w:r>
            <w:r>
              <w:rPr>
                <w:rFonts w:hint="eastAsia" w:ascii="宋体" w:hAnsi="宋体" w:cs="宋体"/>
                <w:color w:val="auto"/>
                <w:highlight w:val="none"/>
              </w:rPr>
              <w:t xml:space="preserve">自交货验收合格之日起计），因人为因素出现的故障不在免费保修范围内。超过保修期的机器设备，终身维修，维修时只收部件成本费。服务期内提供所有软件产品的免费升级服务和教学应用技术服务。</w:t>
            </w:r>
            <w:r/>
          </w:p>
        </w:tc>
      </w:tr>
      <w:tr>
        <w:trPr>
          <w:jc w:val="center"/>
          <w:trHeight w:val="25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第8.2（3）项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货物质量缺陷</w:t>
            </w:r>
            <w:r/>
          </w:p>
          <w:p>
            <w:pPr>
              <w:jc w:val="left"/>
              <w:rPr>
                <w:rFonts w:hint="eastAsia" w:ascii="宋体" w:hAnsi="宋体"/>
                <w:color w:val="auto"/>
                <w:sz w:val="24"/>
                <w:highlight w:val="none"/>
              </w:rPr>
            </w:pPr>
            <w:r>
              <w:rPr>
                <w:rFonts w:hint="eastAsia" w:ascii="宋体" w:hAnsi="宋体"/>
                <w:color w:val="auto"/>
                <w:sz w:val="24"/>
                <w:highlight w:val="none"/>
              </w:rPr>
              <w:t xml:space="preserve">响应时间</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如在使用过程中发生质量问题，乙方在接到甲方通知后在</w:t>
            </w:r>
            <w:r>
              <w:rPr>
                <w:rFonts w:hint="eastAsia" w:ascii="宋体" w:hAnsi="宋体"/>
                <w:color w:val="auto"/>
                <w:sz w:val="24"/>
                <w:highlight w:val="none"/>
                <w:u w:val="single"/>
              </w:rPr>
              <w:t xml:space="preserve">4</w:t>
            </w:r>
            <w:r>
              <w:rPr>
                <w:rFonts w:hint="eastAsia" w:ascii="宋体" w:hAnsi="宋体"/>
                <w:color w:val="auto"/>
                <w:sz w:val="24"/>
                <w:highlight w:val="none"/>
              </w:rPr>
              <w:t xml:space="preserve">小时内到达甲方现场。</w:t>
            </w:r>
            <w:r/>
          </w:p>
        </w:tc>
      </w:tr>
      <w:tr>
        <w:trPr>
          <w:jc w:val="center"/>
          <w:trHeight w:val="2215"/>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hint="eastAsia"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hint="eastAsia"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hint="eastAsia"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58"/>
              <w:spacing w:beforeAutospacing="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198"/>
        </w:trPr>
        <w:tc>
          <w:tcPr>
            <w:tcW w:w="18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第二节</w:t>
            </w:r>
            <w:r/>
          </w:p>
          <w:p>
            <w:pPr>
              <w:jc w:val="center"/>
              <w:widowControl/>
              <w:rPr>
                <w:rFonts w:hint="eastAsia"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2098"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其他应当保密的信息</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1642"/>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第12.2款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合同价款支付时间及要求</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auto"/>
                <w:sz w:val="24"/>
                <w:highlight w:val="none"/>
              </w:rPr>
            </w:pPr>
            <w:r>
              <w:rPr>
                <w:rFonts w:hint="eastAsia" w:ascii="宋体" w:hAnsi="宋体"/>
                <w:color w:val="auto"/>
                <w:sz w:val="24"/>
                <w:highlight w:val="none"/>
              </w:rPr>
              <w:t xml:space="preserve">①甲方在合同签订后收到乙方提交的预付款支付申请及乙方基本户开户银行出具的不少于预付款的保函后，</w:t>
            </w:r>
            <w:r>
              <w:rPr>
                <w:rFonts w:hint="eastAsia" w:ascii="宋体" w:hAnsi="宋体"/>
                <w:color w:val="auto"/>
                <w:sz w:val="24"/>
                <w:highlight w:val="none"/>
                <w:lang w:val="en-US" w:eastAsia="zh-CN"/>
              </w:rPr>
              <w:t xml:space="preserve">原则上</w:t>
            </w:r>
            <w:r>
              <w:rPr>
                <w:rFonts w:hint="eastAsia" w:ascii="宋体" w:hAnsi="宋体"/>
                <w:color w:val="auto"/>
                <w:sz w:val="24"/>
                <w:highlight w:val="none"/>
              </w:rPr>
              <w:t xml:space="preserve">在</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个工作日内，向乙方支付合同总价款的30%（计人民币           ）作为项目预付款。乙方放弃预付款需要书面明确表示无需预付款。</w:t>
            </w:r>
            <w:r/>
          </w:p>
          <w:p>
            <w:pPr>
              <w:jc w:val="left"/>
              <w:rPr>
                <w:rFonts w:hint="eastAsia" w:ascii="宋体" w:hAnsi="宋体"/>
                <w:color w:val="auto"/>
                <w:sz w:val="24"/>
                <w:highlight w:val="none"/>
              </w:rPr>
            </w:pPr>
            <w:r>
              <w:rPr>
                <w:rFonts w:hint="eastAsia" w:ascii="宋体" w:hAnsi="宋体"/>
                <w:color w:val="auto"/>
                <w:sz w:val="24"/>
                <w:highlight w:val="none"/>
              </w:rPr>
              <w:t xml:space="preserve">②所有货物安装完毕，甲方组织初步验收，初步验收合格后原则上在收到乙方发票10个工作日内甲方向乙方支付至合同总价的90%款项；</w:t>
            </w:r>
            <w:r/>
          </w:p>
          <w:p>
            <w:pPr>
              <w:jc w:val="left"/>
              <w:rPr>
                <w:rFonts w:hint="eastAsia" w:ascii="宋体" w:hAnsi="宋体"/>
                <w:color w:val="auto"/>
                <w:sz w:val="24"/>
                <w:highlight w:val="none"/>
              </w:rPr>
            </w:pPr>
            <w:r>
              <w:rPr>
                <w:rFonts w:hint="eastAsia" w:ascii="宋体" w:hAnsi="宋体"/>
                <w:color w:val="auto"/>
                <w:sz w:val="24"/>
                <w:highlight w:val="none"/>
              </w:rPr>
              <w:t xml:space="preserve">③验收合格之日起算满</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年后支付清余款。</w:t>
            </w:r>
            <w:r/>
          </w:p>
          <w:p>
            <w:pPr>
              <w:jc w:val="left"/>
              <w:rPr>
                <w:rFonts w:hint="eastAsia"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color w:val="auto"/>
                <w:sz w:val="24"/>
                <w:highlight w:val="none"/>
              </w:rPr>
            </w:pPr>
            <w:r>
              <w:rPr>
                <w:rFonts w:hint="eastAsia" w:ascii="宋体" w:hAnsi="宋体"/>
                <w:color w:val="auto"/>
                <w:sz w:val="24"/>
                <w:highlight w:val="none"/>
              </w:rPr>
              <w:t xml:space="preserve">(1) 发票；</w:t>
            </w:r>
            <w:r/>
          </w:p>
          <w:p>
            <w:pPr>
              <w:jc w:val="left"/>
              <w:rPr>
                <w:rFonts w:hint="eastAsia"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hint="eastAsia"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jc w:val="center"/>
          <w:trHeight w:val="1642"/>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第13.2款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45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rPr>
                <w:rFonts w:hint="eastAsia"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（4）中标人采取欺骗、弄虚作假方式投标的或与其他投标人串通投标的；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rPr>
                <w:rFonts w:hint="eastAsia"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jc w:val="center"/>
          <w:trHeight w:val="1314"/>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第13.3款</w:t>
            </w:r>
            <w:r/>
          </w:p>
        </w:tc>
        <w:tc>
          <w:tcPr>
            <w:tcW w:w="209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45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rPr>
                <w:rFonts w:hint="eastAsia"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rPr>
                <w:rFonts w:hint="eastAsia"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rPr>
                <w:rFonts w:hint="eastAsia"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rPr>
                <w:rFonts w:hint="eastAsia"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21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第14.1（3）项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运行监督、维修期限</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21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第14.1（5）项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货物回收的约定</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第14.1（6）项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乙方提供的其他服务</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823"/>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第15.1款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修理、重做、更换相关具体规定</w:t>
            </w:r>
            <w:r/>
          </w:p>
        </w:tc>
        <w:tc>
          <w:tcPr>
            <w:tcW w:w="4530" w:type="dxa"/>
            <w:vAlign w:val="center"/>
            <w:textDirection w:val="lrTb"/>
            <w:noWrap w:val="false"/>
          </w:tcPr>
          <w:p>
            <w:pPr>
              <w:numPr>
                <w:ilvl w:val="0"/>
                <w:numId w:val="5"/>
              </w:numPr>
              <w:jc w:val="left"/>
              <w:rPr>
                <w:rFonts w:hint="eastAsia"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5"/>
              </w:numPr>
              <w:jc w:val="left"/>
              <w:rPr>
                <w:rFonts w:hint="eastAsia"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9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第15.2（2）项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迟延交货赔偿费</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hint="eastAsia"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hint="eastAsia"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千分之五</w:t>
            </w:r>
            <w:r>
              <w:rPr>
                <w:rFonts w:hint="eastAsia" w:ascii="宋体" w:hAnsi="宋体"/>
                <w:color w:val="auto"/>
                <w:sz w:val="24"/>
                <w:highlight w:val="none"/>
              </w:rPr>
              <w:t xml:space="preserve">向甲方支付违约金，由甲方从待付</w:t>
            </w:r>
            <w:r>
              <w:rPr>
                <w:rFonts w:hint="eastAsia" w:ascii="宋体" w:hAnsi="宋体" w:eastAsia="宋体"/>
                <w:color w:val="auto"/>
                <w:sz w:val="24"/>
                <w:highlight w:val="none"/>
              </w:rPr>
              <w:t xml:space="preserve">款项</w:t>
            </w:r>
            <w:r>
              <w:rPr>
                <w:rFonts w:hint="eastAsia" w:ascii="宋体" w:hAnsi="宋体"/>
                <w:color w:val="auto"/>
                <w:sz w:val="24"/>
                <w:highlight w:val="none"/>
              </w:rPr>
              <w:t xml:space="preserve">中扣除。逾期超过约定日期</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的违约金，如造成甲方损失超过违约金的，超出部分由乙方继续承担赔偿责任。 </w:t>
            </w:r>
            <w:r/>
          </w:p>
          <w:p>
            <w:pPr>
              <w:jc w:val="left"/>
              <w:rPr>
                <w:rFonts w:hint="eastAsia" w:ascii="宋体" w:hAnsi="宋体"/>
                <w:color w:val="auto"/>
                <w:sz w:val="24"/>
                <w:highlight w:val="none"/>
                <w:u w:val="singl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的滞纳金。</w:t>
            </w:r>
            <w:r/>
          </w:p>
        </w:tc>
      </w:tr>
      <w:tr>
        <w:trPr>
          <w:jc w:val="center"/>
          <w:trHeight w:val="496"/>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第15.3款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逾期付款利息</w:t>
            </w:r>
            <w:r/>
          </w:p>
        </w:tc>
        <w:tc>
          <w:tcPr>
            <w:tcW w:w="4530" w:type="dxa"/>
            <w:vAlign w:val="center"/>
            <w:textDirection w:val="lrTb"/>
            <w:noWrap w:val="false"/>
          </w:tcPr>
          <w:p>
            <w:pPr>
              <w:pStyle w:val="758"/>
              <w:jc w:val="both"/>
              <w:spacing w:beforeAutospacing="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10%</w:t>
            </w:r>
            <w:r>
              <w:rPr>
                <w:rFonts w:hint="eastAsia" w:ascii="宋体" w:hAnsi="宋体" w:cs="宋体"/>
                <w:color w:val="auto"/>
                <w:highlight w:val="none"/>
              </w:rPr>
              <w:t xml:space="preserve">的违约金。</w:t>
            </w:r>
            <w:r/>
          </w:p>
          <w:p>
            <w:pPr>
              <w:pStyle w:val="758"/>
              <w:jc w:val="both"/>
              <w:spacing w:beforeAutospacing="0" w:afterAutospacing="0"/>
              <w:rPr>
                <w:rFonts w:hint="eastAsia"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按银行同期利息</w:t>
            </w:r>
            <w:r>
              <w:rPr>
                <w:rFonts w:hint="eastAsia" w:ascii="宋体" w:hAnsi="宋体" w:cs="宋体"/>
                <w:color w:val="auto"/>
                <w:highlight w:val="none"/>
              </w:rPr>
              <w:t xml:space="preserve">向乙方支付违约金。</w:t>
            </w:r>
            <w:r/>
          </w:p>
        </w:tc>
      </w:tr>
      <w:tr>
        <w:trPr>
          <w:jc w:val="center"/>
          <w:trHeight w:val="234"/>
        </w:trPr>
        <w:tc>
          <w:tcPr>
            <w:tcBorders>
              <w:bottom w:val="single" w:color="000000" w:sz="2" w:space="0"/>
              <w:right w:val="single" w:color="000000" w:sz="2" w:space="0"/>
            </w:tcBorders>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4530" w:type="dxa"/>
            <w:vAlign w:val="center"/>
            <w:textDirection w:val="lrTb"/>
            <w:noWrap w:val="false"/>
          </w:tcPr>
          <w:p>
            <w:pPr>
              <w:jc w:val="left"/>
              <w:rPr>
                <w:rFonts w:hint="eastAsia" w:ascii="宋体" w:hAnsi="宋体"/>
                <w:color w:val="auto"/>
                <w:sz w:val="24"/>
                <w:highlight w:val="none"/>
                <w:u w:val="single"/>
              </w:rPr>
            </w:pPr>
            <w:r>
              <w:rPr>
                <w:rFonts w:hint="eastAsia" w:ascii="宋体" w:hAnsi="宋体"/>
                <w:color w:val="auto"/>
                <w:sz w:val="24"/>
                <w:highlight w:val="none"/>
                <w:u w:val="single"/>
              </w:rPr>
            </w:r>
            <w:r/>
          </w:p>
        </w:tc>
      </w:tr>
      <w:tr>
        <w:trPr>
          <w:jc w:val="center"/>
          <w:trHeight w:val="1066"/>
        </w:trPr>
        <w:tc>
          <w:tcPr>
            <w:tcBorders>
              <w:top w:val="single" w:color="000000" w:sz="2" w:space="0"/>
              <w:right w:val="single" w:color="000000" w:sz="2" w:space="0"/>
            </w:tcBorders>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2 </w:t>
            </w:r>
            <w:r>
              <w:rPr>
                <w:rFonts w:hint="eastAsia" w:ascii="宋体" w:hAnsi="宋体"/>
                <w:color w:val="auto"/>
                <w:sz w:val="24"/>
                <w:highlight w:val="none"/>
              </w:rPr>
              <w:t xml:space="preserve">种方式解决：</w:t>
            </w:r>
            <w:r/>
          </w:p>
          <w:p>
            <w:pPr>
              <w:jc w:val="left"/>
              <w:rPr>
                <w:rFonts w:hint="eastAsia"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盐城市 </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hint="eastAsia" w:ascii="宋体" w:hAnsi="宋体"/>
                <w:color w:val="auto"/>
                <w:sz w:val="24"/>
                <w:highlight w:val="none"/>
              </w:rPr>
            </w:pPr>
            <w:r>
              <w:rPr>
                <w:rFonts w:hint="eastAsia" w:ascii="宋体" w:hAnsi="宋体"/>
                <w:color w:val="auto"/>
                <w:sz w:val="24"/>
                <w:highlight w:val="none"/>
              </w:rPr>
              <w:t xml:space="preserve">2.纠纷解决办法</w:t>
            </w:r>
            <w:r/>
          </w:p>
          <w:p>
            <w:pPr>
              <w:jc w:val="left"/>
              <w:rPr>
                <w:rFonts w:hint="eastAsia"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2297"/>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第23.1款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bCs/>
                <w:color w:val="auto"/>
                <w:sz w:val="24"/>
                <w:highlight w:val="none"/>
              </w:rPr>
              <w:t xml:space="preserve">其他专用条款</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color w:val="auto"/>
                <w:sz w:val="24"/>
                <w:highlight w:val="none"/>
              </w:rPr>
            </w:pPr>
            <w:r>
              <w:rPr>
                <w:rFonts w:hint="eastAsia" w:ascii="宋体" w:hAnsi="宋体"/>
                <w:color w:val="auto"/>
                <w:sz w:val="24"/>
                <w:highlight w:val="none"/>
              </w:rPr>
              <w:t xml:space="preserve">3.验收不合格的货物，乙方应在履约期限内予以更换，逾期按交货延误予以处罚。乙方所交付的货物品种、型号、规格不符合合同规定的，甲方有权拒收。甲方拒收的，乙方向甲方支付货款总额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color w:val="auto"/>
                <w:sz w:val="24"/>
                <w:highlight w:val="none"/>
              </w:rPr>
            </w:pPr>
            <w:r>
              <w:rPr>
                <w:rFonts w:hint="eastAsia" w:ascii="宋体" w:hAnsi="宋体"/>
                <w:color w:val="auto"/>
                <w:sz w:val="24"/>
                <w:highlight w:val="none"/>
              </w:rPr>
              <w:t xml:space="preserve">4.货物验收要求</w:t>
            </w:r>
            <w:r/>
          </w:p>
          <w:p>
            <w:pPr>
              <w:jc w:val="left"/>
              <w:rPr>
                <w:rFonts w:hint="eastAsia"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hint="eastAsia"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hint="eastAsia"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hint="eastAsia"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rPr>
                <w:rFonts w:hint="eastAsia"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甲方指定地点</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（5）甲方应在全部货物到货安装完毕，乙方提出验收申请之日起</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12</w:t>
            </w:r>
            <w:r>
              <w:rPr>
                <w:rFonts w:hint="eastAsia" w:ascii="宋体" w:hAnsi="宋体"/>
                <w:color w:val="auto"/>
                <w:sz w:val="24"/>
                <w:highlight w:val="none"/>
              </w:rPr>
              <w:t xml:space="preserve">个月后，甲方组织对货物的质量及使用状况等进行最终验收。</w:t>
            </w:r>
            <w:r/>
          </w:p>
          <w:p>
            <w:pPr>
              <w:jc w:val="left"/>
              <w:rPr>
                <w:rFonts w:hint="eastAsia"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78"/>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bCs/>
                <w:color w:val="auto"/>
                <w:sz w:val="24"/>
                <w:highlight w:val="none"/>
              </w:rPr>
            </w:pPr>
            <w:r>
              <w:rPr>
                <w:rFonts w:hint="eastAsia" w:ascii="宋体" w:hAnsi="宋体"/>
                <w:bCs/>
                <w:color w:val="auto"/>
                <w:sz w:val="24"/>
                <w:highlight w:val="none"/>
              </w:rPr>
              <w:t xml:space="preserve">税费</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hint="eastAsia"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jc w:val="center"/>
          <w:trHeight w:val="206"/>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bCs/>
                <w:color w:val="auto"/>
                <w:sz w:val="24"/>
                <w:highlight w:val="none"/>
              </w:rPr>
            </w:pPr>
            <w:r>
              <w:rPr>
                <w:rFonts w:hint="eastAsia" w:ascii="宋体" w:hAnsi="宋体"/>
                <w:bCs/>
                <w:color w:val="auto"/>
                <w:sz w:val="24"/>
                <w:highlight w:val="none"/>
              </w:rPr>
              <w:t xml:space="preserve">伴随服务</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hint="eastAsia"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hint="eastAsia"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hint="eastAsia"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hint="eastAsia"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hint="eastAsia"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hint="eastAsia"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jc w:val="center"/>
          <w:trHeight w:val="9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索赔</w:t>
            </w:r>
            <w:r/>
          </w:p>
          <w:p>
            <w:pPr>
              <w:jc w:val="left"/>
              <w:rPr>
                <w:rFonts w:hint="eastAsia" w:ascii="宋体" w:hAnsi="宋体"/>
                <w:color w:val="auto"/>
                <w:sz w:val="24"/>
                <w:highlight w:val="none"/>
              </w:rPr>
            </w:pPr>
            <w:r>
              <w:rPr>
                <w:rFonts w:hint="eastAsia" w:ascii="宋体" w:hAnsi="宋体"/>
                <w:color w:val="auto"/>
                <w:sz w:val="24"/>
                <w:highlight w:val="none"/>
              </w:rPr>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hint="eastAsia"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乙方同意退货，并用合同中规定的货币将货款退还给甲方，并承担由此发生的一切损失和费用，包括利息、银行手续费、运费、保险费、检验费、仓储费、装卸费以及为保护退回货物所需的其他必要费用。</w:t>
            </w:r>
            <w:r/>
          </w:p>
          <w:p>
            <w:pPr>
              <w:jc w:val="left"/>
              <w:rPr>
                <w:rFonts w:hint="eastAsia"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hint="eastAsia"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9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合同生效及其它</w:t>
            </w:r>
            <w:r/>
          </w:p>
          <w:p>
            <w:pPr>
              <w:jc w:val="left"/>
              <w:rPr>
                <w:rFonts w:hint="eastAsia" w:ascii="宋体" w:hAnsi="宋体"/>
                <w:bCs/>
                <w:color w:val="auto"/>
                <w:sz w:val="24"/>
                <w:highlight w:val="none"/>
              </w:rPr>
            </w:pPr>
            <w:r>
              <w:rPr>
                <w:rFonts w:hint="eastAsia" w:ascii="宋体" w:hAnsi="宋体"/>
                <w:bCs/>
                <w:color w:val="auto"/>
                <w:sz w:val="24"/>
                <w:highlight w:val="none"/>
              </w:rPr>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hint="eastAsia"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hint="eastAsia"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4.本合同应按照中华人民共和国的现行法律进行解释。本合同未尽事宜，遵照《中华人民共和国民法典》《中华人民共和国政府采购法》等有关条文执行。</w:t>
            </w:r>
            <w:r/>
          </w:p>
        </w:tc>
      </w:tr>
    </w:tbl>
    <w:p>
      <w:pPr>
        <w:jc w:val="left"/>
        <w:widowControl/>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58"/>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7"/>
      <w:r>
        <w:rPr>
          <w:rFonts w:hint="eastAsia" w:ascii="黑体" w:hAnsi="宋体" w:eastAsia="黑体" w:cs="黑体"/>
          <w:color w:val="auto"/>
          <w:sz w:val="44"/>
          <w:szCs w:val="44"/>
          <w:highlight w:val="none"/>
        </w:rPr>
        <w:t xml:space="preserve">四章 采购需求</w:t>
      </w:r>
      <w:bookmarkEnd w:id="158"/>
      <w:r/>
      <w:bookmarkEnd w:id="159"/>
      <w:r/>
      <w:bookmarkEnd w:id="160"/>
      <w:r/>
      <w:bookmarkEnd w:id="161"/>
      <w:r/>
      <w:bookmarkEnd w:id="162"/>
      <w:r/>
      <w:r/>
    </w:p>
    <w:p>
      <w:pPr>
        <w:pStyle w:val="758"/>
        <w:jc w:val="both"/>
        <w:spacing w:beforeAutospacing="0" w:afterAutospacing="0" w:line="0" w:lineRule="atLeast"/>
        <w:rPr>
          <w:rFonts w:hint="eastAsia" w:ascii="宋体" w:hAnsi="宋体" w:eastAsia="宋体" w:cs="宋体"/>
          <w:color w:val="auto"/>
          <w:highlight w:val="none"/>
        </w:rPr>
      </w:pPr>
      <w:r/>
      <w:bookmarkStart w:id="170" w:name="_Toc49090575"/>
      <w:r/>
      <w:bookmarkStart w:id="171" w:name="_Toc26554093"/>
      <w:r>
        <w:rPr>
          <w:rFonts w:hint="eastAsia" w:ascii="宋体" w:hAnsi="宋体" w:eastAsia="宋体" w:cs="宋体"/>
          <w:color w:val="auto"/>
          <w:highlight w:val="none"/>
        </w:rPr>
        <w:t xml:space="preserve">项目属性：货物类项目。</w:t>
      </w:r>
      <w:bookmarkEnd w:id="170"/>
      <w:r/>
      <w:bookmarkEnd w:id="171"/>
      <w:r/>
      <w:r/>
    </w:p>
    <w:p>
      <w:pPr>
        <w:pStyle w:val="758"/>
        <w:ind w:left="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1、采购内容</w:t>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t xml:space="preserve">东台市实验中学拟建设未来实验室2间，满足2026年初中学</w:t>
      </w:r>
      <w:r>
        <w:rPr>
          <w:rFonts w:hint="eastAsia" w:ascii="宋体" w:hAnsi="宋体" w:eastAsia="宋体" w:cs="宋体"/>
          <w:color w:val="auto"/>
          <w:highlight w:val="none"/>
          <w:lang w:val="en-US" w:eastAsia="zh-CN"/>
        </w:rPr>
        <w:t xml:space="preserve">生</w:t>
      </w:r>
      <w:r>
        <w:rPr>
          <w:rFonts w:hint="eastAsia" w:ascii="宋体" w:hAnsi="宋体" w:eastAsia="宋体" w:cs="宋体"/>
          <w:color w:val="auto"/>
          <w:highlight w:val="none"/>
        </w:rPr>
        <w:t xml:space="preserve">实验要求</w:t>
      </w:r>
      <w:r>
        <w:rPr>
          <w:rFonts w:hint="eastAsia" w:ascii="宋体" w:hAnsi="宋体" w:eastAsia="宋体" w:cs="宋体"/>
          <w:color w:val="auto"/>
          <w:highlight w:val="none"/>
          <w:lang w:eastAsia="zh-CN"/>
        </w:rPr>
        <w:t xml:space="preserve">。</w:t>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2、技术要求</w:t>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2.1 功能及参数要求</w:t>
      </w:r>
      <w:r/>
    </w:p>
    <w:tbl>
      <w:tblPr>
        <w:tblStyle w:val="738"/>
        <w:tblW w:w="8759" w:type="dxa"/>
        <w:jc w:val="center"/>
        <w:tblLayout w:type="autofit"/>
        <w:tblCellMar>
          <w:left w:w="108" w:type="dxa"/>
          <w:top w:w="0" w:type="dxa"/>
          <w:right w:w="108" w:type="dxa"/>
          <w:bottom w:w="0" w:type="dxa"/>
        </w:tblCellMar>
        <w:tblLook w:val="04A0" w:firstRow="1" w:lastRow="0" w:firstColumn="1" w:lastColumn="0" w:noHBand="0" w:noVBand="1"/>
      </w:tblPr>
      <w:tblGrid>
        <w:gridCol w:w="421"/>
        <w:gridCol w:w="850"/>
        <w:gridCol w:w="6665"/>
        <w:gridCol w:w="394"/>
        <w:gridCol w:w="429"/>
      </w:tblGrid>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6665" w:type="dxa"/>
            <w:vAlign w:val="center"/>
            <w:textDirection w:val="lrTb"/>
            <w:noWrap/>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bidi="ar"/>
              </w:rPr>
              <w:t xml:space="preserve">单位</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bookmarkStart w:id="172" w:name="_Hlk208247582"/>
            <w:r>
              <w:rPr>
                <w:rFonts w:hint="eastAsia" w:ascii="宋体" w:hAnsi="宋体" w:eastAsia="宋体" w:cs="宋体"/>
                <w:sz w:val="18"/>
                <w:szCs w:val="18"/>
                <w:highlight w:val="none"/>
                <w:lang w:bidi="ar"/>
              </w:rPr>
              <w:t xml:space="preserve">裸眼XR终端</w:t>
            </w:r>
            <w:bookmarkEnd w:id="172"/>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1.3D显示单元、光学追踪定位单元、电脑单元采用一体化便携设计；</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2.显示单元：尺寸</w:t>
            </w:r>
            <w:bookmarkStart w:id="173" w:name="OLE_LINK19"/>
            <w:r>
              <w:rPr>
                <w:rFonts w:hint="eastAsia" w:ascii="宋体" w:hAnsi="宋体" w:eastAsia="宋体" w:cs="宋体"/>
                <w:sz w:val="18"/>
                <w:szCs w:val="18"/>
                <w:highlight w:val="none"/>
                <w:lang w:bidi="ar"/>
              </w:rPr>
              <w:t xml:space="preserve">≥15英寸</w:t>
            </w:r>
            <w:bookmarkEnd w:id="173"/>
            <w:r>
              <w:rPr>
                <w:rFonts w:hint="eastAsia" w:ascii="宋体" w:hAnsi="宋体" w:eastAsia="宋体" w:cs="宋体"/>
                <w:sz w:val="18"/>
                <w:szCs w:val="18"/>
                <w:highlight w:val="none"/>
                <w:lang w:bidi="ar"/>
              </w:rPr>
              <w:t xml:space="preserve">；3D显示分辨率≥3840*2160；</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3.无需佩戴3D眼镜，仅通过裸眼方式即可观看到3D/VR的景深效果；基于眼球追踪定位的裸眼3D显示技术、基于光学定位的VR交互技术；</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4.3D显示和2D显示自动切换； </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5.★实时将虚拟现实交互场景投送至其它设备，根据其他设备的显示特性对应显示2D或3D内容；</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6.预装本项目中初中理化生VR资源、初中语文VR资源、初中综合课程VR资源；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7.运行本项目中初中理化生VR资源、初中语文VR资源、初中综合课程VR资源。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二、裸眼XR终端参数（涉及到具体品牌型号仅作性能参数对比用）：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1.处理器：8核16线程；标配存储：1T SSD；标配内存：32G；图形性能：不低于RTX3060；接口：要求具备USB*2、Type C*1、1个HDMI输出接口。</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2.眼球跟踪：具备可追踪眼球的多目摄像头，通过摄像头系统能准确判断人眼所在位置，从而根据眼球追踪视角的不同来转换不同视角下的显示内容；</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3.支持键鼠、光学追踪操控笔两种交互方式。</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三、AR软件</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1.AR软件可搭配外接AR摄像头和外接大屏扩展显示，实现AR功能效果展示，即在一体机端交互拖动3D模型，可以在外接大屏同步观看3D模型被拖出屏幕到现实空间中的视觉效果，结合现实环境进行AR效果教学或展示；</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2.可搭配带3D显示功能的大屏做扩屏模式显示，实现立体3D的VR投屏功能。</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台</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default" w:ascii="宋体" w:hAnsi="宋体" w:eastAsia="宋体" w:cs="宋体"/>
                <w:sz w:val="18"/>
                <w:szCs w:val="18"/>
                <w:highlight w:val="none"/>
                <w:lang w:val="en-US" w:eastAsia="zh-CN" w:bidi="ar"/>
              </w:rPr>
            </w:pPr>
            <w:r/>
            <w:bookmarkStart w:id="174" w:name="_Hlk208247593"/>
            <w:r/>
            <w:bookmarkStart w:id="175" w:name="_Hlk208427831"/>
            <w:r>
              <w:rPr>
                <w:rFonts w:hint="eastAsia" w:ascii="宋体" w:hAnsi="宋体" w:eastAsia="宋体" w:cs="宋体"/>
                <w:sz w:val="18"/>
                <w:szCs w:val="18"/>
                <w:highlight w:val="none"/>
                <w:lang w:bidi="ar"/>
              </w:rPr>
              <w:t xml:space="preserve">偏振式3D学生VR终端</w:t>
            </w:r>
            <w:bookmarkEnd w:id="174"/>
            <w:r/>
            <w:bookmarkEnd w:id="175"/>
            <w:r>
              <w:rPr>
                <w:rFonts w:hint="eastAsia" w:ascii="宋体" w:hAnsi="宋体" w:eastAsia="宋体" w:cs="宋体"/>
                <w:sz w:val="18"/>
                <w:szCs w:val="18"/>
                <w:highlight w:val="none"/>
                <w:lang w:eastAsia="zh-CN" w:bidi="ar"/>
              </w:rPr>
              <w:t xml:space="preserve">（</w:t>
            </w:r>
            <w:r>
              <w:rPr>
                <w:rFonts w:hint="eastAsia" w:ascii="宋体" w:hAnsi="宋体" w:eastAsia="宋体" w:cs="宋体"/>
                <w:sz w:val="18"/>
                <w:szCs w:val="18"/>
                <w:highlight w:val="none"/>
                <w:lang w:val="en-US" w:eastAsia="zh-CN" w:bidi="ar"/>
              </w:rPr>
              <w:t xml:space="preserve">核心产品</w:t>
            </w:r>
            <w:r>
              <w:rPr>
                <w:rFonts w:hint="eastAsia" w:ascii="宋体" w:hAnsi="宋体" w:eastAsia="宋体" w:cs="宋体"/>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1.3D显示单元、光学追踪定位单元、电脑单元采用一体化便携设计，显示尺寸：不小于15英寸；3D显示物理分辨率不少于1920*1080；</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2.可实现AR/VR交互操作；</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3.具备键鼠、触摸、光学追踪空间交互笔等三种交互方式；</w:t>
            </w:r>
            <w:r/>
          </w:p>
          <w:p>
            <w:pPr>
              <w:jc w:val="left"/>
              <w:widowControl/>
              <w:rPr>
                <w:rFonts w:hint="eastAsia" w:ascii="宋体" w:hAnsi="宋体" w:eastAsia="宋体" w:cs="宋体"/>
                <w:sz w:val="18"/>
                <w:szCs w:val="18"/>
                <w:highlight w:val="none"/>
                <w:lang w:bidi="ar"/>
              </w:rPr>
            </w:pPr>
            <w:r/>
            <w:bookmarkStart w:id="176" w:name="OLE_LINK16"/>
            <w:r>
              <w:rPr>
                <w:rFonts w:hint="eastAsia" w:ascii="宋体" w:hAnsi="宋体" w:eastAsia="宋体" w:cs="宋体"/>
                <w:sz w:val="18"/>
                <w:szCs w:val="18"/>
                <w:highlight w:val="none"/>
                <w:lang w:bidi="ar"/>
              </w:rPr>
              <w:t xml:space="preserve">4.★无需外挂设备或联网，实时将本项目中偏振式3D学生VR终端的虚拟现实交互场景投送至其它显示设备。</w:t>
            </w:r>
            <w:bookmarkEnd w:id="176"/>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二、偏振式3D学生VR终端参数（涉及到具体品牌型号仅作性能参数对比用）：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1.SoC：麒麟9000S(包含NPU)；ROM（存储容量）：256GB UFS3.1；内存：8GB LPDDR5; 定位系统：GPS+BDS（北斗）； </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2.设备具备头部3D眼镜位置追踪功能；具有5个追踪点设计，可转换不同视角下的显示内容；</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3.3D显示跟踪系统支持全屏3D，60Hz刷新率；</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4.系统配备偏振式3D眼镜不少于2副，其中1副支持追踪；</w:t>
            </w:r>
            <w:r>
              <w:rPr>
                <w:rFonts w:ascii="宋体" w:hAnsi="宋体" w:eastAsia="宋体" w:cs="宋体"/>
                <w:sz w:val="18"/>
                <w:szCs w:val="18"/>
                <w:highlight w:val="none"/>
                <w:lang w:bidi="ar"/>
              </w:rPr>
              <w:t xml:space="preserve"> </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5.系统配备空间交互笔:支持6自由度坐标轴和空中姿态转动。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三、偏振式3D学生VR终端系统：</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1.开机自动屏蔽与教育教学无关的图片、影视、游戏等内容；</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2.联网状态显示；</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3.可按照学段、学科等分类筛选并预览资源；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4.可在离线或自由模式下打开设备内的资源；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5.可由教师调整内容展示及预览顺序。</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穿戴式学生VR终端</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1.追踪：必须支持高精度、低延迟的Inside-Out头手6DoF追踪；</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2.人体工学设计：采用均衡配重、透气面料、可调节头带，支持佩戴眼镜或提供磁吸镜片方案；</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3.★投屏：在其他设备上展示本项目中穿戴式学生VR终端显示的内容。</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二、穿戴式学生VR终端参数（涉及到具体品牌型号仅作性能参数对比用）：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1.屏幕：双眼分辨率≥3664*1920；刷新率≥90Hz；</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2.镜片：菲涅耳透镜，FOV≥98°；</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3.交互：头&amp;手6Dof交互；</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4.手柄：2个6Dof交互手柄；</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5.内存：容量≥6GB；</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6.存储：容量≥256GB；</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7.续航时间：不低于2.5小时。。</w:t>
            </w:r>
            <w:r/>
          </w:p>
          <w:p>
            <w:pPr>
              <w:jc w:val="left"/>
              <w:widowControl/>
              <w:rPr>
                <w:rFonts w:hint="eastAsia" w:ascii="宋体" w:hAnsi="宋体" w:eastAsia="宋体" w:cs="宋体"/>
                <w:sz w:val="18"/>
                <w:szCs w:val="18"/>
                <w:highlight w:val="none"/>
                <w:lang w:bidi="ar"/>
              </w:rPr>
            </w:pPr>
            <w:r/>
            <w:bookmarkStart w:id="177" w:name="OLE_LINK21"/>
            <w:r>
              <w:rPr>
                <w:rFonts w:hint="eastAsia" w:ascii="宋体" w:hAnsi="宋体" w:eastAsia="宋体" w:cs="宋体"/>
                <w:sz w:val="18"/>
                <w:szCs w:val="18"/>
                <w:highlight w:val="none"/>
                <w:lang w:bidi="ar"/>
              </w:rPr>
              <w:t xml:space="preserve">三、穿戴式学生VR终端系统：</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1.开机自动屏蔽与教育教学无关的图片、影视、游戏等内容；</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2.联网状态显示；</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3.可按照学段、学科等分类筛选并预览资源；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4.可在离线或自由模式下打开设备内的资源；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5.可由教师调整内容展示及预览顺序。</w:t>
            </w:r>
            <w:bookmarkEnd w:id="177"/>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台</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bookmarkStart w:id="178" w:name="_Hlk208247634"/>
            <w:r>
              <w:rPr>
                <w:rFonts w:hint="eastAsia" w:ascii="宋体" w:hAnsi="宋体" w:eastAsia="宋体" w:cs="宋体"/>
                <w:sz w:val="18"/>
                <w:szCs w:val="18"/>
                <w:highlight w:val="none"/>
                <w:lang w:bidi="ar"/>
              </w:rPr>
              <w:t xml:space="preserve">3D</w:t>
            </w:r>
            <w:r>
              <w:rPr>
                <w:rFonts w:hint="eastAsia" w:ascii="宋体" w:hAnsi="宋体" w:eastAsia="宋体" w:cs="宋体"/>
                <w:color w:val="000000"/>
                <w:sz w:val="20"/>
                <w:szCs w:val="20"/>
                <w:highlight w:val="none"/>
                <w:lang w:bidi="ar"/>
              </w:rPr>
              <w:t xml:space="preserve">VR智慧黑板</w:t>
            </w:r>
            <w:bookmarkEnd w:id="178"/>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1.显示区域对角线尺寸不小于 86 英寸； </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2.支持H.264、VP9、H.265等全4K硬解码；</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3.支持左右、上下等3D格式；</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4.偏光式3D液晶显示技术，物理分辨率≥3840*2160</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w:t>
            </w:r>
            <w:r>
              <w:rPr>
                <w:rFonts w:hint="eastAsia" w:ascii="宋体" w:hAnsi="宋体" w:eastAsia="宋体" w:cs="宋体"/>
                <w:color w:val="000000"/>
                <w:sz w:val="20"/>
                <w:szCs w:val="20"/>
                <w:highlight w:val="none"/>
                <w:lang w:bidi="ar"/>
              </w:rPr>
              <w:t xml:space="preserve">三拼接同平面一体化设计，</w:t>
            </w:r>
            <w:r>
              <w:rPr>
                <w:rFonts w:hint="eastAsia" w:ascii="宋体" w:hAnsi="宋体" w:eastAsia="宋体" w:cs="宋体"/>
                <w:sz w:val="18"/>
                <w:szCs w:val="18"/>
                <w:highlight w:val="none"/>
                <w:lang w:bidi="ar"/>
              </w:rPr>
              <w:t xml:space="preserve">3D可视角度≥100°</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二、系统参数（涉及到具体品牌型号仅作性能参数对比用）：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1.内存容量≥1GB，存储容量≥8GB；</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2.配备OPS电脑，满足VR资源的存储与展示；</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3.输入接口数：HDMI≥2， USB≥3，RJ45≥1</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4.配备偏振式3D眼镜60副。</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学生终端管理系统</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1.设备管理：提供批量设备激活、应用静默推送与更新、远程监控设备状态、远程设置锁定、文件分发、远程协助等功能；</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2.应用锁定：支持单应用模式，防止学生误操作退出教学环境；</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3.用户管理：支持多用户角色分配和权限管理；</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4.设备数量：本项目所有学生终端</w:t>
            </w:r>
            <w:bookmarkStart w:id="179" w:name="OLE_LINK8"/>
            <w:r>
              <w:rPr>
                <w:rFonts w:hint="eastAsia" w:ascii="宋体" w:hAnsi="宋体" w:eastAsia="宋体" w:cs="宋体"/>
                <w:sz w:val="18"/>
                <w:szCs w:val="18"/>
                <w:highlight w:val="none"/>
                <w:lang w:bidi="ar"/>
              </w:rPr>
              <w:t xml:space="preserve">。</w:t>
            </w:r>
            <w:bookmarkEnd w:id="179"/>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XR管理平台</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 ★平台为B/S架构，支持本地部署，可管理本项目所有学生终端；</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2.账号管理：为学校提供的管理员账号可自由创建教师子账号，自由创建角色；</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3.支持网页端一键切换教学和自由模式，切换教学模式后，所有设备进入授课模式，切换自由模式后，学生可自由体验；</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4.支持网页端一键控制设备播放指定资源进行授课及一键关闭资源；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5.支持在Web端监控学生设备正在播放的资源等；</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6.支持在Web端查看设备状态，包含在线、离线、播放中、低电量预警、设备剩余存储空间等；</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7.使用数据统计包括：支持统计及查看设备开机次数、开机时长、更新及平台用户访问等数据；支持统计及查看资源播放次数、播放时长、已播放资源类型及分类分布等数据；</w:t>
            </w:r>
            <w:r/>
          </w:p>
          <w:p>
            <w:pPr>
              <w:jc w:val="left"/>
              <w:widowControl/>
              <w:rPr>
                <w:rFonts w:hint="eastAsia" w:ascii="宋体" w:hAnsi="宋体" w:eastAsia="宋体" w:cs="宋体"/>
                <w:sz w:val="18"/>
                <w:szCs w:val="18"/>
                <w:highlight w:val="none"/>
                <w:lang w:bidi="ar"/>
              </w:rPr>
            </w:pPr>
            <w:r>
              <w:rPr>
                <w:rFonts w:hint="eastAsia" w:ascii="宋体" w:hAnsi="宋体" w:eastAsia="宋体" w:cs="宋体"/>
                <w:color w:val="000000"/>
                <w:sz w:val="20"/>
                <w:szCs w:val="20"/>
                <w:highlight w:val="none"/>
                <w:lang w:bidi="ar"/>
              </w:rPr>
              <w:t xml:space="preserve">8</w:t>
            </w:r>
            <w:r>
              <w:rPr>
                <w:rFonts w:hint="eastAsia" w:ascii="宋体" w:hAnsi="宋体" w:eastAsia="宋体" w:cs="宋体"/>
                <w:sz w:val="18"/>
                <w:szCs w:val="18"/>
                <w:highlight w:val="none"/>
                <w:lang w:bidi="ar"/>
              </w:rPr>
              <w:t xml:space="preserve">.</w:t>
            </w:r>
            <w:r>
              <w:rPr>
                <w:rFonts w:hint="eastAsia" w:ascii="宋体" w:hAnsi="宋体" w:eastAsia="宋体" w:cs="宋体"/>
                <w:color w:val="000000"/>
                <w:sz w:val="20"/>
                <w:szCs w:val="20"/>
                <w:highlight w:val="none"/>
                <w:lang w:bidi="ar"/>
              </w:rPr>
              <w:t xml:space="preserve">三年内为教师参加各级各类教学比赛、公开课等教学活动提供每年不少于3次的公有云服务</w:t>
            </w:r>
            <w:r>
              <w:rPr>
                <w:rFonts w:hint="eastAsia" w:ascii="宋体" w:hAnsi="宋体" w:eastAsia="宋体" w:cs="宋体"/>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初中理化生VR资源</w:t>
            </w:r>
            <w:r/>
          </w:p>
        </w:tc>
        <w:tc>
          <w:tcPr>
            <w:shd w:val="clear" w:color="auto" w:fill="auto"/>
            <w:tcBorders>
              <w:top w:val="single" w:color="auto" w:sz="4" w:space="0"/>
              <w:left w:val="single" w:color="auto" w:sz="4" w:space="0"/>
              <w:bottom w:val="none" w:color="000000"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提供与义务教育物理、化学、生物学课程标准（2022版）中知识点同步的VR资源，每个独立的VR资源对应单一实验活动或探究活动（详见附件1，由于物理缺少九年级下、生物学缺少八年级下的教材，要求中标供应商在</w:t>
            </w:r>
            <w:r>
              <w:rPr>
                <w:rFonts w:hint="eastAsia" w:ascii="宋体" w:hAnsi="宋体" w:eastAsia="宋体" w:cs="宋体"/>
                <w:b/>
                <w:bCs/>
                <w:sz w:val="18"/>
                <w:szCs w:val="18"/>
                <w:highlight w:val="none"/>
                <w:lang w:bidi="ar"/>
              </w:rPr>
              <w:t xml:space="preserve">签订合同时承诺</w:t>
            </w:r>
            <w:r>
              <w:rPr>
                <w:rFonts w:hint="eastAsia" w:ascii="宋体" w:hAnsi="宋体" w:eastAsia="宋体" w:cs="宋体"/>
                <w:sz w:val="18"/>
                <w:szCs w:val="18"/>
                <w:highlight w:val="none"/>
                <w:lang w:bidi="ar"/>
              </w:rPr>
              <w:t xml:space="preserve">1年内同步提供不少于投标篇数三分之一的VR资源），各潜在供应商自行设计对应表格（某一章节的知识点需要多个实验或探究活动可以自行增加行），表头至少包含学科、课本章节、VR资源名称；</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2.VR资源适配安装到本项目裸眼XR终端和所有偏振式3D学生VR终端，有出屏的立体效果；</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3.★VR资源适配安装到本项目穿戴式VR学生终端；</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4.VR资源为具有交互、拆分、实验内容自由搭建等功能的</w:t>
            </w:r>
            <w:r>
              <w:rPr>
                <w:rFonts w:hint="eastAsia" w:ascii="宋体" w:hAnsi="宋体" w:eastAsia="宋体" w:cs="宋体"/>
                <w:b/>
                <w:bCs/>
                <w:sz w:val="18"/>
                <w:szCs w:val="18"/>
                <w:highlight w:val="none"/>
                <w:lang w:bidi="ar"/>
              </w:rPr>
              <w:t xml:space="preserve">非视频类</w:t>
            </w:r>
            <w:r>
              <w:rPr>
                <w:rFonts w:hint="eastAsia" w:ascii="宋体" w:hAnsi="宋体" w:eastAsia="宋体" w:cs="宋体"/>
                <w:sz w:val="18"/>
                <w:szCs w:val="18"/>
                <w:highlight w:val="none"/>
                <w:lang w:bidi="ar"/>
              </w:rPr>
              <w:t xml:space="preserve">VR课件；</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5.每个VR资源中有：实验原理、实验器材、实验目的、实验步骤、实验结论等信息内容提示。</w:t>
            </w:r>
            <w:r/>
          </w:p>
        </w:tc>
        <w:tc>
          <w:tcPr>
            <w:shd w:val="clear" w:color="auto" w:fill="auto"/>
            <w:tcBorders>
              <w:top w:val="single" w:color="auto" w:sz="4" w:space="0"/>
              <w:left w:val="single" w:color="auto" w:sz="4" w:space="0"/>
              <w:bottom w:val="single" w:color="000000"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shd w:val="clear" w:color="auto" w:fill="auto"/>
            <w:tcBorders>
              <w:top w:val="single" w:color="auto" w:sz="4" w:space="0"/>
              <w:left w:val="single" w:color="auto" w:sz="4" w:space="0"/>
              <w:bottom w:val="single" w:color="000000" w:sz="4" w:space="0"/>
              <w:right w:val="single" w:color="auto"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初中语文VR资源</w:t>
            </w:r>
            <w:r/>
          </w:p>
        </w:tc>
        <w:tc>
          <w:tcPr>
            <w:shd w:val="clear" w:color="auto" w:fill="auto"/>
            <w:tcBorders>
              <w:top w:val="single" w:color="auto" w:sz="4" w:space="0"/>
              <w:left w:val="single" w:color="auto" w:sz="4" w:space="0"/>
              <w:bottom w:val="none" w:color="000000"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 ◆提供义务教育语文课程标准中同步的篇目，以教材内容为基础，呈现课文中叙述的虚拟情境（课文篇目详见附件2，由于缺少八年级下和九年级的教材，要求中标供应商</w:t>
            </w:r>
            <w:r>
              <w:rPr>
                <w:rFonts w:hint="eastAsia" w:ascii="宋体" w:hAnsi="宋体" w:eastAsia="宋体" w:cs="宋体"/>
                <w:b/>
                <w:bCs/>
                <w:sz w:val="18"/>
                <w:szCs w:val="18"/>
                <w:highlight w:val="none"/>
                <w:lang w:bidi="ar"/>
              </w:rPr>
              <w:t xml:space="preserve">在签订合同时承诺</w:t>
            </w:r>
            <w:r>
              <w:rPr>
                <w:rFonts w:hint="eastAsia" w:ascii="宋体" w:hAnsi="宋体" w:eastAsia="宋体" w:cs="宋体"/>
                <w:sz w:val="18"/>
                <w:szCs w:val="18"/>
                <w:highlight w:val="none"/>
                <w:lang w:bidi="ar"/>
              </w:rPr>
              <w:t xml:space="preserve">2年内同步提供不少于投标篇数的VR资源），各潜在供应商自行设计对应表格，表头至少包含课本篇目、VR资源名称；</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2.软件要求支持用户在虚拟情境中自由漫步并支持自由转动视角，支持与虚拟情境内的学习对象进行交互；</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3.VR资源适配安装到本项目裸眼XR终端，有出屏的立体效果。</w:t>
            </w:r>
            <w:r/>
          </w:p>
        </w:tc>
        <w:tc>
          <w:tcPr>
            <w:tcBorders>
              <w:top w:val="single" w:color="auto" w:sz="4" w:space="0"/>
              <w:left w:val="single" w:color="auto" w:sz="4" w:space="0"/>
              <w:bottom w:val="single" w:color="000000"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tcBorders>
              <w:top w:val="single" w:color="auto" w:sz="4" w:space="0"/>
              <w:left w:val="single" w:color="auto" w:sz="4" w:space="0"/>
              <w:bottom w:val="single" w:color="000000" w:sz="4" w:space="0"/>
              <w:right w:val="single" w:color="auto"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初中综合课程VR资源</w:t>
            </w:r>
            <w:r/>
          </w:p>
        </w:tc>
        <w:tc>
          <w:tcPr>
            <w:shd w:val="clear" w:color="auto" w:fill="auto"/>
            <w:tcBorders>
              <w:top w:val="single" w:color="auto" w:sz="4" w:space="0"/>
              <w:left w:val="single" w:color="auto" w:sz="4" w:space="0"/>
              <w:bottom w:val="single" w:color="auto"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1.系统所有模型均为经过烘焙的三维仿真模型。采用三维场景展示，通过穿戴式学生VR终端进行观察体验，支持用户360°旋转视角；</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2.系统分辨率不低于1920*1200，场景模型可实时顶点优化；</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3.系统具有强交互性；</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4.所有资源可在无互联网环境下操作使用；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5.VR资源适配安装到本项目所有穿戴式学生VR终端；</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6.★VR资源适配安装到本项目裸眼XR终端和所有偏振式3D学生VR终端，有出屏的立体效果；</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7.◆各潜在供应商自行设计资源目录，表头至少包含一级目录、二级目录、VR资源名称（每个二级目录下不少于3个资源）、资源大小。</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二、内容需求（</w:t>
            </w:r>
            <w:r>
              <w:rPr>
                <w:rFonts w:hint="eastAsia" w:ascii="宋体" w:hAnsi="宋体" w:eastAsia="宋体" w:cs="宋体"/>
                <w:b/>
                <w:bCs/>
                <w:sz w:val="18"/>
                <w:szCs w:val="18"/>
                <w:highlight w:val="none"/>
                <w:lang w:bidi="ar"/>
              </w:rPr>
              <w:t xml:space="preserve">各潜在供应商参照以下条目编制一、二级目录，一级目录名称不可改变，二组目录名称不必完全相同</w:t>
            </w:r>
            <w:r>
              <w:rPr>
                <w:rFonts w:hint="eastAsia" w:ascii="宋体" w:hAnsi="宋体" w:eastAsia="宋体" w:cs="宋体"/>
                <w:sz w:val="18"/>
                <w:szCs w:val="18"/>
                <w:highlight w:val="none"/>
                <w:lang w:bidi="ar"/>
              </w:rPr>
              <w:t xml:space="preserve">）：</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1、危机类VR资源至少包括：公共安全、家庭火灾隐患认知及排查体验、消防器材认知与使用。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2.心理健康教育VR资源至少包括：VR沙盘游戏心理学拓展训练、VR迷宫冒险心理学拓展训练、公众演讲焦虑等心理学拓展体验。</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3.爱国主义和国防教育VR资源至少包括：红色革命故事、改革开放成就、文化自信、国防安全。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4.科普教育VR资源至少包括：航空航天、国防军事、现代科技、生命健康。</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5.地理历史VR资源至少包括：地球和地图、陆地和海洋、天气与气候、人口与宗教、国家和地区、古代文明、重要历史事件、文化遗产、生产生活等。</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6.全景VR视频资源至少包括：海岸、瀑布、峡谷、沙漠、海底世界</w:t>
            </w:r>
            <w:r>
              <w:rPr>
                <w:rFonts w:hint="eastAsia" w:ascii="Cambria Math" w:hAnsi="Cambria Math" w:eastAsia="宋体" w:cs="Cambria Math"/>
                <w:sz w:val="18"/>
                <w:szCs w:val="18"/>
                <w:highlight w:val="none"/>
                <w:lang w:bidi="ar"/>
              </w:rPr>
              <w:t xml:space="preserve">、</w:t>
            </w:r>
            <w:r>
              <w:rPr>
                <w:rFonts w:hint="eastAsia" w:ascii="宋体" w:hAnsi="宋体" w:eastAsia="宋体" w:cs="宋体"/>
                <w:sz w:val="18"/>
                <w:szCs w:val="18"/>
                <w:highlight w:val="none"/>
                <w:lang w:bidi="ar"/>
              </w:rPr>
              <w:t xml:space="preserve">山川、河流、雨林</w:t>
            </w:r>
            <w:r>
              <w:rPr>
                <w:rFonts w:hint="eastAsia" w:ascii="Cambria Math" w:hAnsi="Cambria Math" w:eastAsia="宋体" w:cs="Cambria Math"/>
                <w:sz w:val="18"/>
                <w:szCs w:val="18"/>
                <w:highlight w:val="none"/>
                <w:lang w:bidi="ar"/>
              </w:rPr>
              <w:t xml:space="preserve">。</w:t>
            </w:r>
            <w:r/>
          </w:p>
        </w:tc>
        <w:tc>
          <w:tcPr>
            <w:tcBorders>
              <w:top w:val="single" w:color="auto" w:sz="4" w:space="0"/>
              <w:left w:val="single" w:color="auto" w:sz="4" w:space="0"/>
              <w:bottom w:val="single" w:color="auto"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bidi="ar"/>
              </w:rPr>
              <w:t xml:space="preserve">1</w:t>
            </w:r>
            <w:r>
              <w:rPr>
                <w:rFonts w:hint="eastAsia" w:ascii="宋体" w:hAnsi="宋体" w:eastAsia="宋体" w:cs="宋体"/>
                <w:sz w:val="18"/>
                <w:szCs w:val="18"/>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VR编辑软件</w:t>
            </w:r>
            <w:r/>
          </w:p>
        </w:tc>
        <w:tc>
          <w:tcPr>
            <w:shd w:val="clear" w:color="auto" w:fill="auto"/>
            <w:tcBorders>
              <w:top w:val="single" w:color="auto" w:sz="4" w:space="0"/>
              <w:left w:val="single" w:color="auto" w:sz="4" w:space="0"/>
              <w:bottom w:val="single" w:color="auto"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1.可自主上传、删除场景、音频、视频、平面图片、3D素材等资源；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2.可在素材管理模块预览场景、音频、视频、图片、3D素材等资源；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3.可在所有素材分类中检索素材；</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4.可设置一键导览功能，让浏览者跟随预先设置的路线观看全景；</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5.可添加全场景/单场景背景音乐、解说； </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6.★有回收站功能，避免误删造成素材丢失，回收站内分类包括但不限于作品、场景素材、音视频素材、3D素材等类型，可批量恢复和批量删除；</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7.可添加多个沙盘图，让当前场景以点位的形式放置其中，并可以设置视角朝向，直观显示在全局中的位置；</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8.有作品的新建、发布、编辑、预览、删除等功能；有作品检索功能，结果可按照ID、创建时间等排序。</w:t>
            </w:r>
            <w:r/>
          </w:p>
        </w:tc>
        <w:tc>
          <w:tcPr>
            <w:tcBorders>
              <w:top w:val="single" w:color="auto" w:sz="4" w:space="0"/>
              <w:left w:val="single" w:color="auto" w:sz="4" w:space="0"/>
              <w:bottom w:val="single" w:color="auto"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default" w:ascii="宋体" w:hAnsi="宋体" w:eastAsia="宋体" w:cs="宋体"/>
                <w:sz w:val="18"/>
                <w:szCs w:val="18"/>
                <w:highlight w:val="none"/>
                <w:lang w:val="en-US" w:eastAsia="zh-CN" w:bidi="ar"/>
              </w:rPr>
            </w:pPr>
            <w:r>
              <w:rPr>
                <w:rFonts w:hint="eastAsia" w:ascii="宋体" w:hAnsi="宋体" w:eastAsia="宋体" w:cs="宋体"/>
                <w:sz w:val="18"/>
                <w:szCs w:val="18"/>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VR素材采集器</w:t>
            </w:r>
            <w:r/>
          </w:p>
        </w:tc>
        <w:tc>
          <w:tcPr>
            <w:shd w:val="clear" w:color="auto" w:fill="auto"/>
            <w:tcBorders>
              <w:top w:val="single" w:color="auto" w:sz="4" w:space="0"/>
              <w:left w:val="single" w:color="auto" w:sz="4" w:space="0"/>
              <w:bottom w:val="single" w:color="auto"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1.成像原理：采用多镜头一体化设计，实现真3D（立体）球形全景拍摄。</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2.镜头系统：设备须集成不少于6个鱼眼镜头，每个镜头视角不低于200°，以确保充分的画面重叠区，实现无缝拼接。</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3.分辨率：视频模式需支持不低于7680×3840（8K）@30fps的3D全景视频拍摄；照片模式需支持不低于10K分辨率的3D全景图片拍摄。</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4.同步方式：所有镜头必须具备全局快门或高级同步技术，确保所有镜头间曝光、白平衡、色彩完全同步。</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二、设备参数</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1.视频拍摄性能要求：视频格式：支持拍摄、录制或直接输出行业标准格式的3D全景视频文件（如MP4、MOV等）；编码：支持H.264/H.265编码；动态范围：支持 10-bit 色彩深度及 Log 灰度模式；</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2.图片拍摄性能要求：拍摄模式：支持高分辨率3D全景照片拍摄，并提供RAW或DNG格式选项；控制方式：支持远程控制（如通过手机APP、电脑软件或遥控器）进行拍摄参数调整和快门触发； </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3.传感器：每个镜头对应的传感器尺寸不低于1/2.3英寸，有效像素不低于1200万；</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4.接口：至少包含USB 3.0 Type-C、HDMI 2.0、千兆以太网口 (RJ45)、3.5mm麦克风输入&amp;耳机监听口、多机同步端口；</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5.配件：原厂配套三脚架、电源适配器及线缆、原厂数据线、便携式安全箱、U3 128GB 存储卡8张。</w:t>
            </w:r>
            <w:r/>
          </w:p>
        </w:tc>
        <w:tc>
          <w:tcPr>
            <w:tcBorders>
              <w:top w:val="single" w:color="auto" w:sz="4" w:space="0"/>
              <w:left w:val="single" w:color="auto" w:sz="4" w:space="0"/>
              <w:bottom w:val="single" w:color="auto"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bidi="ar"/>
              </w:rPr>
              <w:t xml:space="preserve">1</w:t>
            </w:r>
            <w:r>
              <w:rPr>
                <w:rFonts w:hint="eastAsia" w:ascii="宋体" w:hAnsi="宋体" w:eastAsia="宋体" w:cs="宋体"/>
                <w:sz w:val="18"/>
                <w:szCs w:val="18"/>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充电车</w:t>
            </w:r>
            <w:r/>
          </w:p>
        </w:tc>
        <w:tc>
          <w:tcPr>
            <w:shd w:val="clear" w:color="auto" w:fill="auto"/>
            <w:tcBorders>
              <w:top w:val="single" w:color="auto" w:sz="4" w:space="0"/>
              <w:left w:val="single" w:color="auto" w:sz="4" w:space="0"/>
              <w:bottom w:val="single" w:color="auto"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ascii="宋体" w:hAnsi="宋体" w:eastAsia="宋体" w:cs="宋体"/>
                <w:sz w:val="18"/>
                <w:szCs w:val="18"/>
                <w:highlight w:val="none"/>
                <w:lang w:bidi="ar"/>
              </w:rPr>
              <w:t xml:space="preserve">1. </w:t>
            </w:r>
            <w:r>
              <w:rPr>
                <w:rFonts w:hint="eastAsia" w:ascii="宋体" w:hAnsi="宋体" w:eastAsia="宋体" w:cs="宋体"/>
                <w:sz w:val="18"/>
                <w:szCs w:val="18"/>
                <w:highlight w:val="none"/>
                <w:lang w:bidi="ar"/>
              </w:rPr>
              <w:t xml:space="preserve">可充电设备不少于20个；</w:t>
            </w:r>
            <w:r/>
          </w:p>
          <w:p>
            <w:pPr>
              <w:jc w:val="left"/>
              <w:widowControl/>
              <w:rPr>
                <w:rFonts w:hint="eastAsia" w:ascii="宋体" w:hAnsi="宋体" w:eastAsia="宋体" w:cs="宋体"/>
                <w:sz w:val="18"/>
                <w:szCs w:val="18"/>
                <w:highlight w:val="none"/>
                <w:lang w:bidi="ar"/>
              </w:rPr>
            </w:pPr>
            <w:r>
              <w:rPr>
                <w:rFonts w:ascii="宋体" w:hAnsi="宋体" w:eastAsia="宋体" w:cs="宋体"/>
                <w:sz w:val="18"/>
                <w:szCs w:val="18"/>
                <w:highlight w:val="none"/>
                <w:lang w:bidi="ar"/>
              </w:rPr>
              <w:t xml:space="preserve">2. 采用全封闭防盗结构</w:t>
            </w:r>
            <w:r>
              <w:rPr>
                <w:rFonts w:hint="eastAsia" w:ascii="宋体" w:hAnsi="宋体" w:eastAsia="宋体" w:cs="宋体"/>
                <w:sz w:val="18"/>
                <w:szCs w:val="18"/>
                <w:highlight w:val="none"/>
                <w:lang w:bidi="ar"/>
              </w:rPr>
              <w:t xml:space="preserve">；</w:t>
            </w:r>
            <w:r/>
          </w:p>
          <w:p>
            <w:pPr>
              <w:jc w:val="left"/>
              <w:widowControl/>
              <w:rPr>
                <w:rFonts w:hint="eastAsia" w:ascii="宋体" w:hAnsi="宋体" w:eastAsia="宋体" w:cs="宋体"/>
                <w:sz w:val="18"/>
                <w:szCs w:val="18"/>
                <w:highlight w:val="none"/>
                <w:lang w:bidi="ar"/>
              </w:rPr>
            </w:pPr>
            <w:r>
              <w:rPr>
                <w:rFonts w:ascii="宋体" w:hAnsi="宋体" w:eastAsia="宋体" w:cs="宋体"/>
                <w:sz w:val="18"/>
                <w:szCs w:val="18"/>
                <w:highlight w:val="none"/>
                <w:lang w:bidi="ar"/>
              </w:rPr>
              <w:t xml:space="preserve">3.一体化电源管理系统：</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w:t>
            </w:r>
            <w:r>
              <w:rPr>
                <w:rFonts w:ascii="宋体" w:hAnsi="宋体" w:eastAsia="宋体" w:cs="宋体"/>
                <w:sz w:val="18"/>
                <w:szCs w:val="18"/>
                <w:highlight w:val="none"/>
                <w:lang w:bidi="ar"/>
              </w:rPr>
              <w:t xml:space="preserve">5V/2A直接输出USB供电，全电源管理芯片式集成电路设计，自动检测平板允许输入电流，优先供应低电位设备。根据电池电量自动以普通，快速，涓流三种模式供电，满电自动断电。</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w:t>
            </w:r>
            <w:r>
              <w:rPr>
                <w:rFonts w:ascii="宋体" w:hAnsi="宋体" w:eastAsia="宋体" w:cs="宋体"/>
                <w:sz w:val="18"/>
                <w:szCs w:val="18"/>
                <w:highlight w:val="none"/>
                <w:lang w:bidi="ar"/>
              </w:rPr>
              <w:t xml:space="preserve">过载保护:当功率过大或电流不稳定时自动断电，防止损坏设备。</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w:t>
            </w:r>
            <w:r>
              <w:rPr>
                <w:rFonts w:ascii="宋体" w:hAnsi="宋体" w:eastAsia="宋体" w:cs="宋体"/>
                <w:sz w:val="18"/>
                <w:szCs w:val="18"/>
                <w:highlight w:val="none"/>
                <w:lang w:bidi="ar"/>
              </w:rPr>
              <w:t xml:space="preserve">散热</w:t>
            </w:r>
            <w:r>
              <w:rPr>
                <w:rFonts w:hint="eastAsia" w:ascii="宋体" w:hAnsi="宋体" w:eastAsia="宋体" w:cs="宋体"/>
                <w:sz w:val="18"/>
                <w:szCs w:val="18"/>
                <w:highlight w:val="none"/>
                <w:lang w:bidi="ar"/>
              </w:rPr>
              <w:t xml:space="preserve">：</w:t>
            </w:r>
            <w:r>
              <w:rPr>
                <w:rFonts w:ascii="宋体" w:hAnsi="宋体" w:eastAsia="宋体" w:cs="宋体"/>
                <w:sz w:val="18"/>
                <w:szCs w:val="18"/>
                <w:highlight w:val="none"/>
                <w:lang w:bidi="ar"/>
              </w:rPr>
              <w:t xml:space="preserve">充电过程</w:t>
            </w:r>
            <w:r>
              <w:rPr>
                <w:rFonts w:hint="eastAsia" w:ascii="宋体" w:hAnsi="宋体" w:eastAsia="宋体" w:cs="宋体"/>
                <w:sz w:val="18"/>
                <w:szCs w:val="18"/>
                <w:highlight w:val="none"/>
                <w:lang w:bidi="ar"/>
              </w:rPr>
              <w:t xml:space="preserve">中</w:t>
            </w:r>
            <w:r>
              <w:rPr>
                <w:rFonts w:ascii="宋体" w:hAnsi="宋体" w:eastAsia="宋体" w:cs="宋体"/>
                <w:sz w:val="18"/>
                <w:szCs w:val="18"/>
                <w:highlight w:val="none"/>
                <w:lang w:bidi="ar"/>
              </w:rPr>
              <w:t xml:space="preserve">自动控制风扇</w:t>
            </w:r>
            <w:r>
              <w:rPr>
                <w:rFonts w:hint="eastAsia" w:ascii="宋体" w:hAnsi="宋体" w:eastAsia="宋体" w:cs="宋体"/>
                <w:sz w:val="18"/>
                <w:szCs w:val="18"/>
                <w:highlight w:val="none"/>
                <w:lang w:bidi="ar"/>
              </w:rPr>
              <w:t xml:space="preserve">在设</w:t>
            </w:r>
            <w:r>
              <w:rPr>
                <w:rFonts w:ascii="宋体" w:hAnsi="宋体" w:eastAsia="宋体" w:cs="宋体"/>
                <w:sz w:val="18"/>
                <w:szCs w:val="18"/>
                <w:highlight w:val="none"/>
                <w:lang w:bidi="ar"/>
              </w:rPr>
              <w:t xml:space="preserve">定温度</w:t>
            </w:r>
            <w:r>
              <w:rPr>
                <w:rFonts w:hint="eastAsia" w:ascii="宋体" w:hAnsi="宋体" w:eastAsia="宋体" w:cs="宋体"/>
                <w:sz w:val="18"/>
                <w:szCs w:val="18"/>
                <w:highlight w:val="none"/>
                <w:lang w:bidi="ar"/>
              </w:rPr>
              <w:t xml:space="preserve">下</w:t>
            </w:r>
            <w:r>
              <w:rPr>
                <w:rFonts w:ascii="宋体" w:hAnsi="宋体" w:eastAsia="宋体" w:cs="宋体"/>
                <w:sz w:val="18"/>
                <w:szCs w:val="18"/>
                <w:highlight w:val="none"/>
                <w:lang w:bidi="ar"/>
              </w:rPr>
              <w:t xml:space="preserve">启动风扇强制散热。</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w:t>
            </w:r>
            <w:r>
              <w:rPr>
                <w:rFonts w:ascii="宋体" w:hAnsi="宋体" w:eastAsia="宋体" w:cs="宋体"/>
                <w:sz w:val="18"/>
                <w:szCs w:val="18"/>
                <w:highlight w:val="none"/>
                <w:lang w:bidi="ar"/>
              </w:rPr>
              <w:t xml:space="preserve">.标配防漏电、防短路</w:t>
            </w:r>
            <w:r>
              <w:rPr>
                <w:rFonts w:hint="eastAsia" w:ascii="宋体" w:hAnsi="宋体" w:eastAsia="宋体" w:cs="宋体"/>
                <w:sz w:val="18"/>
                <w:szCs w:val="18"/>
                <w:highlight w:val="none"/>
                <w:lang w:bidi="ar"/>
              </w:rPr>
              <w:t xml:space="preserve">等</w:t>
            </w:r>
            <w:r>
              <w:rPr>
                <w:rFonts w:ascii="宋体" w:hAnsi="宋体" w:eastAsia="宋体" w:cs="宋体"/>
                <w:sz w:val="18"/>
                <w:szCs w:val="18"/>
                <w:highlight w:val="none"/>
                <w:lang w:bidi="ar"/>
              </w:rPr>
              <w:t xml:space="preserve">保护系统。</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w:t>
            </w:r>
            <w:r>
              <w:rPr>
                <w:rFonts w:ascii="宋体" w:hAnsi="宋体" w:eastAsia="宋体" w:cs="宋体"/>
                <w:sz w:val="18"/>
                <w:szCs w:val="18"/>
                <w:highlight w:val="none"/>
                <w:lang w:bidi="ar"/>
              </w:rPr>
              <w:t xml:space="preserve">.标配</w:t>
            </w:r>
            <w:r>
              <w:rPr>
                <w:rFonts w:hint="eastAsia" w:ascii="宋体" w:hAnsi="宋体" w:eastAsia="宋体" w:cs="宋体"/>
                <w:sz w:val="18"/>
                <w:szCs w:val="18"/>
                <w:highlight w:val="none"/>
                <w:lang w:bidi="ar"/>
              </w:rPr>
              <w:t xml:space="preserve">紫外线</w:t>
            </w:r>
            <w:r>
              <w:rPr>
                <w:rFonts w:ascii="宋体" w:hAnsi="宋体" w:eastAsia="宋体" w:cs="宋体"/>
                <w:sz w:val="18"/>
                <w:szCs w:val="18"/>
                <w:highlight w:val="none"/>
                <w:lang w:bidi="ar"/>
              </w:rPr>
              <w:t xml:space="preserve">消毒功能。</w:t>
            </w:r>
            <w:r/>
          </w:p>
        </w:tc>
        <w:tc>
          <w:tcPr>
            <w:tcBorders>
              <w:top w:val="single" w:color="auto" w:sz="4" w:space="0"/>
              <w:left w:val="single" w:color="auto" w:sz="4" w:space="0"/>
              <w:bottom w:val="single" w:color="auto"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ascii="宋体" w:hAnsi="宋体" w:eastAsia="宋体" w:cs="宋体"/>
                <w:sz w:val="18"/>
                <w:szCs w:val="18"/>
                <w:highlight w:val="none"/>
                <w:lang w:bidi="ar"/>
              </w:rPr>
              <w:t xml:space="preserve">2</w:t>
            </w:r>
            <w:r/>
          </w:p>
        </w:tc>
        <w:tc>
          <w:tcPr>
            <w:tcBorders>
              <w:top w:val="single" w:color="auto" w:sz="4" w:space="0"/>
              <w:left w:val="single" w:color="auto" w:sz="4" w:space="0"/>
              <w:bottom w:val="single" w:color="auto" w:sz="4" w:space="0"/>
              <w:right w:val="single" w:color="auto"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台</w:t>
            </w:r>
            <w:r/>
          </w:p>
        </w:tc>
      </w:tr>
      <w:tr>
        <w:trPr>
          <w:jc w:val="center"/>
          <w:trHeight w:val="187"/>
        </w:trPr>
        <w:tc>
          <w:tcPr>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default" w:ascii="宋体" w:hAnsi="宋体" w:eastAsia="宋体" w:cs="宋体"/>
                <w:sz w:val="18"/>
                <w:szCs w:val="18"/>
                <w:highlight w:val="none"/>
                <w:lang w:val="en-US" w:eastAsia="zh-CN" w:bidi="ar"/>
              </w:rPr>
            </w:pPr>
            <w:r>
              <w:rPr>
                <w:rFonts w:hint="eastAsia" w:ascii="宋体" w:hAnsi="宋体" w:eastAsia="宋体" w:cs="宋体"/>
                <w:sz w:val="18"/>
                <w:szCs w:val="18"/>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AIoT基础学习套件</w:t>
            </w:r>
            <w:r/>
          </w:p>
        </w:tc>
        <w:tc>
          <w:tcPr>
            <w:tcBorders>
              <w:top w:val="single" w:color="auto" w:sz="4" w:space="0"/>
              <w:left w:val="single" w:color="auto" w:sz="4" w:space="0"/>
              <w:bottom w:val="single" w:color="auto"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1.主控板自带光线传感器、麦克风、加速度计、地磁计、温度传感器、RGB LED灯、触摸按键等；</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2.编程环境：基于Blockly的图形化或混合编程；</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3.扩展性：通过主控板的金手指引脚（Gravity标准接口）和I2C、UART等协议，连接传感器和执行器。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二、设备配置：</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w:t>
            </w:r>
            <w:r>
              <w:rPr>
                <w:rFonts w:ascii="宋体" w:hAnsi="宋体" w:eastAsia="宋体" w:cs="宋体"/>
                <w:sz w:val="18"/>
                <w:szCs w:val="18"/>
                <w:highlight w:val="none"/>
                <w:lang w:bidi="ar"/>
              </w:rPr>
              <w:t xml:space="preserve">1</w:t>
            </w:r>
            <w:r>
              <w:rPr>
                <w:rFonts w:hint="eastAsia" w:ascii="宋体" w:hAnsi="宋体" w:eastAsia="宋体" w:cs="宋体"/>
                <w:sz w:val="18"/>
                <w:szCs w:val="18"/>
                <w:highlight w:val="none"/>
                <w:lang w:bidi="ar"/>
              </w:rPr>
              <w:t xml:space="preserve">）感知与互联</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1.主控板：</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①★处理器：架构：32位双核；主频：</w:t>
            </w:r>
            <w:r>
              <w:rPr>
                <w:rFonts w:ascii="宋体" w:hAnsi="宋体" w:eastAsia="宋体" w:cs="宋体"/>
                <w:sz w:val="18"/>
                <w:szCs w:val="18"/>
                <w:highlight w:val="none"/>
                <w:lang w:bidi="ar"/>
              </w:rPr>
              <w:t xml:space="preserve">240MHz；SRAM：520KB</w:t>
            </w:r>
            <w:r>
              <w:rPr>
                <w:rFonts w:hint="eastAsia" w:ascii="宋体" w:hAnsi="宋体" w:eastAsia="宋体" w:cs="宋体"/>
                <w:sz w:val="18"/>
                <w:szCs w:val="18"/>
                <w:highlight w:val="none"/>
                <w:lang w:bidi="ar"/>
              </w:rPr>
              <w:t xml:space="preserve">；</w:t>
            </w:r>
            <w:r>
              <w:rPr>
                <w:rFonts w:ascii="宋体" w:hAnsi="宋体" w:eastAsia="宋体" w:cs="宋体"/>
                <w:sz w:val="18"/>
                <w:szCs w:val="18"/>
                <w:highlight w:val="none"/>
                <w:lang w:bidi="ar"/>
              </w:rPr>
              <w:t xml:space="preserve">Flash：8MB；Wi-Fi：802.11 b/g/n；</w:t>
            </w:r>
            <w:r>
              <w:rPr>
                <w:rFonts w:hint="eastAsia" w:ascii="宋体" w:hAnsi="宋体" w:eastAsia="宋体" w:cs="宋体"/>
                <w:sz w:val="18"/>
                <w:szCs w:val="18"/>
                <w:highlight w:val="none"/>
                <w:lang w:bidi="ar"/>
              </w:rPr>
              <w:t xml:space="preserve">蓝牙协议：符合蓝牙</w:t>
            </w:r>
            <w:r>
              <w:rPr>
                <w:rFonts w:ascii="宋体" w:hAnsi="宋体" w:eastAsia="宋体" w:cs="宋体"/>
                <w:sz w:val="18"/>
                <w:szCs w:val="18"/>
                <w:highlight w:val="none"/>
                <w:lang w:bidi="ar"/>
              </w:rPr>
              <w:t xml:space="preserve">v4.2 BR/EDR和BLE标准；</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w:t>
            </w:r>
            <w:r>
              <w:rPr>
                <w:rFonts w:ascii="宋体" w:hAnsi="宋体" w:eastAsia="宋体" w:cs="宋体"/>
                <w:sz w:val="18"/>
                <w:szCs w:val="18"/>
                <w:highlight w:val="none"/>
                <w:lang w:bidi="ar"/>
              </w:rPr>
              <w:t xml:space="preserve">集成模块</w:t>
            </w:r>
            <w:r>
              <w:rPr>
                <w:rFonts w:hint="eastAsia" w:ascii="宋体" w:hAnsi="宋体" w:eastAsia="宋体" w:cs="宋体"/>
                <w:sz w:val="18"/>
                <w:szCs w:val="18"/>
                <w:highlight w:val="none"/>
                <w:lang w:bidi="ar"/>
              </w:rPr>
              <w:t xml:space="preserve">包括但不限于：陀螺仪、地磁计、光线传感器、麦克风、</w:t>
            </w:r>
            <w:r>
              <w:rPr>
                <w:rFonts w:ascii="宋体" w:hAnsi="宋体" w:eastAsia="宋体" w:cs="宋体"/>
                <w:sz w:val="18"/>
                <w:szCs w:val="18"/>
                <w:highlight w:val="none"/>
                <w:lang w:bidi="ar"/>
              </w:rPr>
              <w:t xml:space="preserve">RGB</w:t>
            </w:r>
            <w:r>
              <w:rPr>
                <w:rFonts w:hint="eastAsia" w:ascii="宋体" w:hAnsi="宋体" w:eastAsia="宋体" w:cs="宋体"/>
                <w:sz w:val="18"/>
                <w:szCs w:val="18"/>
                <w:highlight w:val="none"/>
                <w:lang w:bidi="ar"/>
              </w:rPr>
              <w:t xml:space="preserve"> LED</w:t>
            </w:r>
            <w:r>
              <w:rPr>
                <w:rFonts w:ascii="宋体" w:hAnsi="宋体" w:eastAsia="宋体" w:cs="宋体"/>
                <w:sz w:val="18"/>
                <w:szCs w:val="18"/>
                <w:highlight w:val="none"/>
                <w:lang w:bidi="ar"/>
              </w:rPr>
              <w:t xml:space="preserve">灯</w:t>
            </w:r>
            <w:r>
              <w:rPr>
                <w:rFonts w:hint="eastAsia" w:ascii="宋体" w:hAnsi="宋体" w:eastAsia="宋体" w:cs="宋体"/>
                <w:sz w:val="18"/>
                <w:szCs w:val="18"/>
                <w:highlight w:val="none"/>
                <w:lang w:bidi="ar"/>
              </w:rPr>
              <w:t xml:space="preserve">、</w:t>
            </w:r>
            <w:r>
              <w:rPr>
                <w:rFonts w:ascii="宋体" w:hAnsi="宋体" w:eastAsia="宋体" w:cs="宋体"/>
                <w:sz w:val="18"/>
                <w:szCs w:val="18"/>
                <w:highlight w:val="none"/>
                <w:lang w:bidi="ar"/>
              </w:rPr>
              <w:t xml:space="preserve">OLED显示屏</w:t>
            </w:r>
            <w:r>
              <w:rPr>
                <w:rFonts w:hint="eastAsia" w:ascii="宋体" w:hAnsi="宋体" w:eastAsia="宋体" w:cs="宋体"/>
                <w:sz w:val="18"/>
                <w:szCs w:val="18"/>
                <w:highlight w:val="none"/>
                <w:lang w:bidi="ar"/>
              </w:rPr>
              <w:t xml:space="preserve">、</w:t>
            </w:r>
            <w:r>
              <w:rPr>
                <w:rFonts w:ascii="宋体" w:hAnsi="宋体" w:eastAsia="宋体" w:cs="宋体"/>
                <w:sz w:val="18"/>
                <w:szCs w:val="18"/>
                <w:highlight w:val="none"/>
                <w:lang w:bidi="ar"/>
              </w:rPr>
              <w:t xml:space="preserve">无源蜂鸣器</w:t>
            </w:r>
            <w:r>
              <w:rPr>
                <w:rFonts w:hint="eastAsia" w:ascii="宋体" w:hAnsi="宋体" w:eastAsia="宋体" w:cs="宋体"/>
                <w:sz w:val="18"/>
                <w:szCs w:val="18"/>
                <w:highlight w:val="none"/>
                <w:lang w:bidi="ar"/>
              </w:rPr>
              <w:t xml:space="preserve">、物理按键。</w:t>
            </w:r>
            <w:r/>
          </w:p>
          <w:p>
            <w:pPr>
              <w:jc w:val="left"/>
              <w:widowControl/>
              <w:rPr>
                <w:rFonts w:hint="eastAsia" w:ascii="宋体" w:hAnsi="宋体" w:eastAsia="宋体" w:cs="宋体"/>
                <w:sz w:val="18"/>
                <w:szCs w:val="18"/>
                <w:highlight w:val="none"/>
                <w:lang w:bidi="ar"/>
              </w:rPr>
            </w:pPr>
            <w:r>
              <w:rPr>
                <w:rFonts w:ascii="宋体" w:hAnsi="宋体" w:eastAsia="宋体" w:cs="宋体"/>
                <w:sz w:val="18"/>
                <w:szCs w:val="18"/>
                <w:highlight w:val="none"/>
                <w:lang w:bidi="ar"/>
              </w:rPr>
              <w:t xml:space="preserve">2、</w:t>
            </w:r>
            <w:r>
              <w:rPr>
                <w:rFonts w:hint="eastAsia" w:ascii="宋体" w:hAnsi="宋体" w:eastAsia="宋体" w:cs="宋体"/>
                <w:sz w:val="18"/>
                <w:szCs w:val="18"/>
                <w:highlight w:val="none"/>
                <w:lang w:bidi="ar"/>
              </w:rPr>
              <w:t xml:space="preserve">传感器模块：</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①温湿度传感器：温度测量范围: -10℃—40℃，湿度范围10% -95%RH；</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②土壤湿度传感器：输出值0-3.3V（0-5V</w:t>
            </w:r>
            <w:r>
              <w:rPr>
                <w:rFonts w:ascii="宋体" w:hAnsi="宋体" w:eastAsia="宋体" w:cs="宋体"/>
                <w:sz w:val="18"/>
                <w:szCs w:val="18"/>
                <w:highlight w:val="none"/>
                <w:lang w:bidi="ar"/>
              </w:rPr>
              <w:t xml:space="preserve">）</w:t>
            </w:r>
            <w:r>
              <w:rPr>
                <w:rFonts w:hint="eastAsia" w:ascii="宋体" w:hAnsi="宋体" w:eastAsia="宋体" w:cs="宋体"/>
                <w:sz w:val="18"/>
                <w:szCs w:val="18"/>
                <w:highlight w:val="none"/>
                <w:lang w:bidi="ar"/>
              </w:rPr>
              <w:t xml:space="preserve">模拟电压；</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③电池：</w:t>
            </w:r>
            <w:r>
              <w:rPr>
                <w:rFonts w:ascii="宋体" w:hAnsi="宋体" w:eastAsia="宋体" w:cs="宋体"/>
                <w:sz w:val="18"/>
                <w:szCs w:val="18"/>
                <w:highlight w:val="none"/>
                <w:lang w:bidi="ar"/>
              </w:rPr>
              <w:t xml:space="preserve">2</w:t>
            </w:r>
            <w:r>
              <w:rPr>
                <w:rFonts w:hint="eastAsia" w:ascii="宋体" w:hAnsi="宋体" w:eastAsia="宋体" w:cs="宋体"/>
                <w:sz w:val="18"/>
                <w:szCs w:val="18"/>
                <w:highlight w:val="none"/>
                <w:lang w:bidi="ar"/>
              </w:rPr>
              <w:t xml:space="preserve">0</w:t>
            </w:r>
            <w:r>
              <w:rPr>
                <w:rFonts w:ascii="宋体" w:hAnsi="宋体" w:eastAsia="宋体" w:cs="宋体"/>
                <w:sz w:val="18"/>
                <w:szCs w:val="18"/>
                <w:highlight w:val="none"/>
                <w:lang w:bidi="ar"/>
              </w:rPr>
              <w:t xml:space="preserve">00mAh</w:t>
            </w:r>
            <w:r>
              <w:rPr>
                <w:rFonts w:hint="eastAsia" w:ascii="宋体" w:hAnsi="宋体" w:eastAsia="宋体" w:cs="宋体"/>
                <w:sz w:val="18"/>
                <w:szCs w:val="18"/>
                <w:highlight w:val="none"/>
                <w:lang w:bidi="ar"/>
              </w:rPr>
              <w:t xml:space="preserve">以上</w:t>
            </w:r>
            <w:r>
              <w:rPr>
                <w:rFonts w:ascii="宋体" w:hAnsi="宋体" w:eastAsia="宋体" w:cs="宋体"/>
                <w:sz w:val="18"/>
                <w:szCs w:val="18"/>
                <w:highlight w:val="none"/>
                <w:lang w:bidi="ar"/>
              </w:rPr>
              <w:t xml:space="preserve">可充电锂电池</w:t>
            </w:r>
            <w:r>
              <w:rPr>
                <w:rFonts w:hint="eastAsia" w:ascii="宋体" w:hAnsi="宋体" w:eastAsia="宋体" w:cs="宋体"/>
                <w:sz w:val="18"/>
                <w:szCs w:val="18"/>
                <w:highlight w:val="none"/>
                <w:lang w:bidi="ar"/>
              </w:rPr>
              <w:t xml:space="preserve">。</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（2）运动与控制</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①超声波传感器：量程5-250cm；</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②循迹：</w:t>
            </w:r>
            <w:r>
              <w:rPr>
                <w:rFonts w:ascii="宋体" w:hAnsi="宋体" w:eastAsia="宋体" w:cs="宋体"/>
                <w:sz w:val="18"/>
                <w:szCs w:val="18"/>
                <w:highlight w:val="none"/>
                <w:lang w:bidi="ar"/>
              </w:rPr>
              <w:t xml:space="preserve">5路红外循迹</w:t>
            </w:r>
            <w:r>
              <w:rPr>
                <w:rFonts w:hint="eastAsia" w:ascii="宋体" w:hAnsi="宋体" w:eastAsia="宋体" w:cs="宋体"/>
                <w:sz w:val="18"/>
                <w:szCs w:val="18"/>
                <w:highlight w:val="none"/>
                <w:lang w:bidi="ar"/>
              </w:rPr>
              <w:t xml:space="preserve">；</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③执行器模块：舵机云台；</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④小车底盘套件：电机驱动模块1只，</w:t>
            </w:r>
            <w:r>
              <w:rPr>
                <w:rFonts w:ascii="宋体" w:hAnsi="宋体" w:eastAsia="宋体" w:cs="宋体"/>
                <w:sz w:val="18"/>
                <w:szCs w:val="18"/>
                <w:highlight w:val="none"/>
                <w:lang w:bidi="ar"/>
              </w:rPr>
              <w:t xml:space="preserve">TT马达车轮2个，万向轮1个</w:t>
            </w:r>
            <w:r>
              <w:rPr>
                <w:rFonts w:hint="eastAsia" w:ascii="宋体" w:hAnsi="宋体" w:eastAsia="宋体" w:cs="宋体"/>
                <w:sz w:val="18"/>
                <w:szCs w:val="18"/>
                <w:highlight w:val="none"/>
                <w:lang w:bidi="ar"/>
              </w:rPr>
              <w:t xml:space="preserve">，车架，螺丝等；</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⑤扩展板：外接DC马达驱动接口不少于2个；马达最大驱动电流不低于150mA；I2C接口不少于2个；IO接口不少于10个。</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（3）创新与融合</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①人体红外传感器：输出值0/1,测量值反应1M范围内是否有人体移动；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②扩展模块包括但不限于RFID射频识别模块、舵机、RGB灯带、风扇。</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三、配件</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w:t>
            </w:r>
            <w:r>
              <w:rPr>
                <w:rFonts w:ascii="宋体" w:hAnsi="宋体" w:eastAsia="宋体" w:cs="宋体"/>
                <w:sz w:val="18"/>
                <w:szCs w:val="18"/>
                <w:highlight w:val="none"/>
                <w:lang w:bidi="ar"/>
              </w:rPr>
              <w:t xml:space="preserve">结构件</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多种可拼插模型结构件，总数量不少于</w:t>
            </w:r>
            <w:r>
              <w:rPr>
                <w:rFonts w:ascii="宋体" w:hAnsi="宋体" w:eastAsia="宋体" w:cs="宋体"/>
                <w:sz w:val="18"/>
                <w:szCs w:val="18"/>
                <w:highlight w:val="none"/>
                <w:lang w:bidi="ar"/>
              </w:rPr>
              <w:t xml:space="preserve">100个。</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2.其他</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w:t>
            </w:r>
            <w:r>
              <w:rPr>
                <w:rFonts w:ascii="宋体" w:hAnsi="宋体" w:eastAsia="宋体" w:cs="宋体"/>
                <w:sz w:val="18"/>
                <w:szCs w:val="18"/>
                <w:highlight w:val="none"/>
                <w:lang w:bidi="ar"/>
              </w:rPr>
              <w:t xml:space="preserve">1条</w:t>
            </w:r>
            <w:r>
              <w:rPr>
                <w:rFonts w:hint="eastAsia" w:ascii="宋体" w:hAnsi="宋体" w:eastAsia="宋体" w:cs="宋体"/>
                <w:sz w:val="18"/>
                <w:szCs w:val="18"/>
                <w:highlight w:val="none"/>
                <w:lang w:bidi="ar"/>
              </w:rPr>
              <w:t xml:space="preserve">1m以上</w:t>
            </w:r>
            <w:r>
              <w:rPr>
                <w:rFonts w:ascii="宋体" w:hAnsi="宋体" w:eastAsia="宋体" w:cs="宋体"/>
                <w:sz w:val="18"/>
                <w:szCs w:val="18"/>
                <w:highlight w:val="none"/>
                <w:lang w:bidi="ar"/>
              </w:rPr>
              <w:t xml:space="preserve">Type-C数据线；</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w:t>
            </w:r>
            <w:r>
              <w:rPr>
                <w:rFonts w:ascii="宋体" w:hAnsi="宋体" w:eastAsia="宋体" w:cs="宋体"/>
                <w:sz w:val="18"/>
                <w:szCs w:val="18"/>
                <w:highlight w:val="none"/>
                <w:lang w:bidi="ar"/>
              </w:rPr>
              <w:t xml:space="preserve">6条4PIN连接线；</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③1只充电底座。</w:t>
            </w:r>
            <w:r/>
          </w:p>
        </w:tc>
        <w:tc>
          <w:tcPr>
            <w:tcBorders>
              <w:top w:val="single" w:color="auto" w:sz="4" w:space="0"/>
              <w:left w:val="single" w:color="auto" w:sz="4" w:space="0"/>
              <w:bottom w:val="single" w:color="auto"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56</w:t>
            </w:r>
            <w:r/>
          </w:p>
        </w:tc>
        <w:tc>
          <w:tcPr>
            <w:tcBorders>
              <w:top w:val="single" w:color="auto" w:sz="4" w:space="0"/>
              <w:left w:val="single" w:color="auto" w:sz="4" w:space="0"/>
              <w:bottom w:val="single" w:color="auto" w:sz="4" w:space="0"/>
              <w:right w:val="single" w:color="auto" w:sz="4" w:space="0"/>
            </w:tcBorders>
            <w:tcMar>
              <w:left w:w="0" w:type="dxa"/>
              <w:right w:w="0" w:type="dxa"/>
            </w:tcMar>
            <w:tcW w:w="429" w:type="dxa"/>
            <w:vAlign w:val="center"/>
            <w:textDirection w:val="lrTb"/>
            <w:noWrap/>
          </w:tcPr>
          <w:p>
            <w:pP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421" w:type="dxa"/>
            <w:vAlign w:val="center"/>
            <w:textDirection w:val="lrTb"/>
            <w:noWrap/>
          </w:tcPr>
          <w:p>
            <w:pPr>
              <w:jc w:val="center"/>
              <w:widowControl/>
              <w:rPr>
                <w:rFonts w:hint="eastAsia" w:ascii="宋体" w:hAnsi="宋体" w:eastAsia="宋体" w:cs="宋体"/>
                <w:sz w:val="18"/>
                <w:szCs w:val="18"/>
                <w:highlight w:val="none"/>
                <w:lang w:eastAsia="zh-CN" w:bidi="ar"/>
              </w:rPr>
            </w:pPr>
            <w:r>
              <w:rPr>
                <w:rFonts w:ascii="宋体" w:hAnsi="宋体" w:eastAsia="宋体" w:cs="宋体"/>
                <w:sz w:val="18"/>
                <w:szCs w:val="18"/>
                <w:highlight w:val="none"/>
                <w:lang w:bidi="ar"/>
              </w:rPr>
              <w:t xml:space="preserve">1</w:t>
            </w:r>
            <w:r>
              <w:rPr>
                <w:rFonts w:hint="eastAsia" w:ascii="宋体" w:hAnsi="宋体" w:eastAsia="宋体" w:cs="宋体"/>
                <w:sz w:val="18"/>
                <w:szCs w:val="18"/>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right w:w="0" w:type="dxa"/>
            </w:tcMar>
            <w:tcW w:w="850" w:type="dxa"/>
            <w:vAlign w:val="center"/>
            <w:textDirection w:val="lrTb"/>
            <w:noWrap w:val="false"/>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AIoT进阶学习套件</w:t>
            </w:r>
            <w:r/>
          </w:p>
        </w:tc>
        <w:tc>
          <w:tcPr>
            <w:shd w:val="clear" w:color="auto" w:fill="auto"/>
            <w:tcBorders>
              <w:top w:val="single" w:color="auto" w:sz="4" w:space="0"/>
              <w:left w:val="single" w:color="auto" w:sz="4" w:space="0"/>
              <w:bottom w:val="single" w:color="auto" w:sz="4" w:space="0"/>
              <w:right w:val="single" w:color="auto" w:sz="4" w:space="0"/>
            </w:tcBorders>
            <w:tcMar>
              <w:left w:w="0" w:type="dxa"/>
              <w:right w:w="0" w:type="dxa"/>
            </w:tcMar>
            <w:tcW w:w="6665" w:type="dxa"/>
            <w:vAlign w:val="center"/>
            <w:textDirection w:val="lrTb"/>
            <w:noWrap/>
          </w:tcPr>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一、整体要求：</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1.系统功能包括但不限于：系统信息、网络信息、编辑器服务开关、物联网服务开关、Web服务开关、网络连接设置； </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2.有完整Python开发环境；</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3.内置远程桌面服务，以有线/无线方式进行连接，实时显示设备菜单界面；</w:t>
            </w:r>
            <w:r/>
          </w:p>
          <w:p>
            <w:pPr>
              <w:jc w:val="left"/>
              <w:widowControl/>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4.支持系统升级，可通过烧录镜像进行系统恢复和升级；</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5.电子课程资源课时数≥30。。</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二、设备参数：</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（1）主控板</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1.★CPU需采用国产芯片，主频≥1.2GHz、核数≥4核，板载内存≥512MB的DDR3内存，硬盘内存≥16GB的eMMC存储，出厂预装Linux系统，支持python2和python3；</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2.需支持多种编程方式：图形化编程、Python IDE编程等，支持微控制器的固件烧录和实时调试；</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3.需支持预装常用Python库，如NumPy、Pandas、Matplotlib等库；</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4.需支持离线运行程序，可本地存储程序；</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5.需支持蓝牙4.0及WiFi 2.4G；</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6.具有板载彩屏尺寸≥2.8寸 240*320TFT、可编程功能按键≥2个、麦克风传感器、光线传感器、加速度传感器、蜂鸣器等模块；</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7.需配备USB Type-C、USB TypeA接口（可拓展USB外设，如摄像头等）、microSD卡接口，板载至少6路传感器拓展接口（支持2路IIC，支持3路PWM其中2路ADC），19路金手指IO接口（支持I2C、UART、SPI、ADC、PWM）；</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8.需支持Type-C 5V供电，工作电压3.3V。</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（2）电子模块：</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1.语音识别模块：</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①需支持离线语音识别功能；</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②需支持内置常用固定命令词条，至少包含≥100条常用的固定命令词条；</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③需支持新增命令词学习功能，至少支持≥10条命令词条学习；</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④需配备麦克风、喇叭及喇叭接口，并且麦克风数量不少于≥2个；</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⑤需支持I2C和UART两种通讯方式，适配主流开源硬件主控器；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2.继电器模块：</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①需配备透明外壳，可清晰观察继电器内部触点工作状态；</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②需支持开关量控制，通过数字信号即可控制继电器的吸合与释放；</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③需采用防反插接口。</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3.基础电子模块：</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①需配备电子模块种类包含但不限于温湿度传感器、气压温度传感器、土壤湿度传感器、水分传感器、超声传感器、红外传感器、手势识别传感器、舵机、水泵等；</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②电子模块需自带固定螺孔，支持螺丝、魔术贴等方式固定；</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③电子模块接口需采用PH2.0接口；</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4.图像识别模块：</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①可以进行多种图像识别应用；</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②兼容积木拼搭，方便安装；</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③内置模型包括但不限于：人脸检测、人脸识别、物体识别、车牌识别、二维码识别、手掌检测；可部署自训练模型进行拓展应用，所有算法本地处理。</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（3）配件：</w:t>
            </w:r>
            <w:r/>
          </w:p>
          <w:p>
            <w:pPr>
              <w:jc w:val="left"/>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需配备模块连接线、主板烧录数据线、电池扩展板、电机IO扩展板等配件。</w:t>
            </w:r>
            <w:r/>
          </w:p>
        </w:tc>
        <w:tc>
          <w:tcPr>
            <w:tcBorders>
              <w:top w:val="single" w:color="auto" w:sz="4" w:space="0"/>
              <w:left w:val="single" w:color="auto" w:sz="4" w:space="0"/>
              <w:bottom w:val="single" w:color="auto" w:sz="4" w:space="0"/>
              <w:right w:val="single" w:color="auto" w:sz="4" w:space="0"/>
            </w:tcBorders>
            <w:tcMar>
              <w:left w:w="0" w:type="dxa"/>
              <w:right w:w="0" w:type="dxa"/>
            </w:tcMar>
            <w:tcW w:w="394"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56</w:t>
            </w:r>
            <w:r/>
          </w:p>
        </w:tc>
        <w:tc>
          <w:tcPr>
            <w:tcBorders>
              <w:top w:val="single" w:color="auto" w:sz="4" w:space="0"/>
              <w:left w:val="single" w:color="auto" w:sz="4" w:space="0"/>
              <w:bottom w:val="single" w:color="auto" w:sz="4" w:space="0"/>
              <w:right w:val="single" w:color="auto" w:sz="4" w:space="0"/>
            </w:tcBorders>
            <w:tcMar>
              <w:left w:w="0" w:type="dxa"/>
              <w:right w:w="0" w:type="dxa"/>
            </w:tcMar>
            <w:tcW w:w="429" w:type="dxa"/>
            <w:vAlign w:val="center"/>
            <w:textDirection w:val="lrTb"/>
            <w:noWrap/>
          </w:tcPr>
          <w:p>
            <w:pPr>
              <w:jc w:val="center"/>
              <w:widowControl/>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套</w:t>
            </w:r>
            <w:r/>
          </w:p>
        </w:tc>
      </w:tr>
    </w:tbl>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3、履约期限</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25</w:t>
      </w:r>
      <w:r>
        <w:rPr>
          <w:rFonts w:hint="eastAsia" w:ascii="宋体" w:hAnsi="宋体" w:eastAsia="宋体" w:cs="宋体"/>
          <w:color w:val="auto"/>
          <w:highlight w:val="none"/>
        </w:rPr>
        <w:t xml:space="preserve">日内货物全部送达甲方指定地点，并安装调试完毕。</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（2）乙方在交货时，货物的品牌型号必须与投标报价单保持一致，必须保证品牌正宗，原始包装并附有合格证、产品安装使用说明书等相关资料。</w:t>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4、履约地点</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东台市实验中学（采购人指定地点）。</w:t>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5、售后服务</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（1）本项目的质量保证期为</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在质保期内所供货物发生故障时，中标人须在8小时内到场维修，无法修复时，须在24小时内提供备用产品，否则甲方有权自行处理，其费用在乙方合同余款中扣除。服务期内提供所有软件产品的免费升级服务和教学应用技术服务。</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（2）所有货物免费送达甲方指定地点，货物的托运、安装及预装常用软件（如需要）等，均不需另行付费。</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（3）根据厂方的规定对所供货物进行保修，在质量保证期内，乙方不得收取任何费用；质量保证期满后，乙方对用户货物的维修，只收成本费，并提供终生技术服务。</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（4）如甲方使用不当造成货物的毁损，乙方有义务协助维修。</w:t>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6、本项目不接受进口产品投标。</w:t>
      </w:r>
      <w:r/>
    </w:p>
    <w:p>
      <w:pPr>
        <w:pStyle w:val="758"/>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7、采购标的对应的中小企业划分标准所属行业一览表</w:t>
      </w:r>
      <w:r/>
    </w:p>
    <w:tbl>
      <w:tblPr>
        <w:tblStyle w:val="738"/>
        <w:tblW w:w="805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3605"/>
        <w:gridCol w:w="3704"/>
      </w:tblGrid>
      <w:tr>
        <w:trPr>
          <w:jc w:val="center"/>
          <w:tblCellSpacing w:w="0" w:type="dxa"/>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裸眼XR终端</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r>
        <w:trPr>
          <w:jc w:val="center"/>
          <w:tblCellSpacing w:w="0" w:type="dxa"/>
          <w:trHeight w:val="235"/>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偏振式3D学生VR终端</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穿戴式学生VR终端</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4</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3DVR智慧黑板</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5</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VR素材采集器</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充电车</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7</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AIoT基础学习套件</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w:t>
            </w:r>
            <w:r/>
          </w:p>
        </w:tc>
        <w:tc>
          <w:tcPr>
            <w:shd w:val="clear" w:color="auto" w:fill="auto"/>
            <w:tcW w:w="3605"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AIoT进阶学习套件</w:t>
            </w:r>
            <w:r/>
          </w:p>
        </w:tc>
        <w:tc>
          <w:tcPr>
            <w:shd w:val="clear" w:color="auto" w:fill="auto"/>
            <w:tcW w:w="3704" w:type="dxa"/>
            <w:vAlign w:val="center"/>
            <w:textDirection w:val="lrTb"/>
            <w:noWrap w:val="false"/>
          </w:tcPr>
          <w:p>
            <w:pPr>
              <w:pStyle w:val="75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r>
    </w:tbl>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80" w:name="_Toc120614281"/>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58"/>
        <w:jc w:val="both"/>
        <w:spacing w:beforeAutospacing="0" w:afterAutospacing="0"/>
        <w:rPr>
          <w:color w:val="auto"/>
          <w:highlight w:val="none"/>
        </w:rPr>
      </w:pPr>
      <w:r>
        <w:rPr>
          <w:color w:val="auto"/>
          <w:highlight w:val="none"/>
        </w:rPr>
        <w:t xml:space="preserve"> </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58"/>
        <w:ind w:firstLine="482"/>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918"/>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758"/>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758"/>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758"/>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758"/>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58"/>
        <w:ind w:firstLine="482"/>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738"/>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999"/>
        <w:gridCol w:w="1057"/>
        <w:gridCol w:w="634"/>
        <w:gridCol w:w="5058"/>
      </w:tblGrid>
      <w:tr>
        <w:trPr>
          <w:jc w:val="center"/>
          <w:trHeight w:val="394"/>
        </w:trPr>
        <w:tc>
          <w:tcPr>
            <w:shd w:val="clear" w:color="auto" w:fill="auto"/>
            <w:tcW w:w="63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shd w:val="clear" w:color="auto" w:fill="auto"/>
            <w:tcW w:w="99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分部内容</w:t>
            </w:r>
            <w:r/>
          </w:p>
        </w:tc>
        <w:tc>
          <w:tcPr>
            <w:shd w:val="clear" w:color="auto" w:fill="auto"/>
            <w:tcW w:w="105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分项内容</w:t>
            </w:r>
            <w:r/>
          </w:p>
        </w:tc>
        <w:tc>
          <w:tcPr>
            <w:shd w:val="clear" w:color="auto" w:fill="auto"/>
            <w:tcW w:w="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分值</w:t>
            </w:r>
            <w:r/>
          </w:p>
        </w:tc>
        <w:tc>
          <w:tcPr>
            <w:shd w:val="clear" w:color="auto" w:fill="auto"/>
            <w:tcW w:w="505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打分要求</w:t>
            </w:r>
            <w:r/>
          </w:p>
        </w:tc>
      </w:tr>
      <w:tr>
        <w:trPr>
          <w:jc w:val="center"/>
          <w:trHeight w:val="588"/>
        </w:trPr>
        <w:tc>
          <w:tcPr>
            <w:shd w:val="clear" w:color="auto" w:fill="auto"/>
            <w:tcW w:w="63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一</w:t>
            </w:r>
            <w:r/>
          </w:p>
        </w:tc>
        <w:tc>
          <w:tcPr>
            <w:shd w:val="clear" w:color="auto" w:fill="auto"/>
            <w:tcW w:w="99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价格部分</w:t>
            </w:r>
            <w:r/>
          </w:p>
        </w:tc>
        <w:tc>
          <w:tcPr>
            <w:shd w:val="clear" w:color="auto" w:fill="auto"/>
            <w:tcW w:w="105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p>
        </w:tc>
        <w:tc>
          <w:tcPr>
            <w:shd w:val="clear" w:color="auto" w:fill="auto"/>
            <w:tcW w:w="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30</w:t>
            </w:r>
            <w:r/>
          </w:p>
        </w:tc>
        <w:tc>
          <w:tcPr>
            <w:shd w:val="clear" w:color="auto" w:fill="auto"/>
            <w:tcW w:w="5058" w:type="dxa"/>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满足招标文件要求且投标价格最低的投标报价为基准价，其价格分为满分。报价得分=（评标基准价/投标报价）×30。</w:t>
            </w:r>
            <w:r/>
          </w:p>
        </w:tc>
      </w:tr>
      <w:tr>
        <w:trPr>
          <w:jc w:val="center"/>
          <w:trHeight w:val="2135"/>
        </w:trPr>
        <w:tc>
          <w:tcPr>
            <w:shd w:val="clear" w:color="auto" w:fill="auto"/>
            <w:tcW w:w="63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二</w:t>
            </w:r>
            <w:r/>
          </w:p>
        </w:tc>
        <w:tc>
          <w:tcPr>
            <w:shd w:val="clear" w:color="auto" w:fill="auto"/>
            <w:tcW w:w="99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节能环保</w:t>
            </w:r>
            <w:r/>
          </w:p>
        </w:tc>
        <w:tc>
          <w:tcPr>
            <w:shd w:val="clear" w:color="auto" w:fill="auto"/>
            <w:tcW w:w="105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认证证书</w:t>
            </w:r>
            <w:r/>
          </w:p>
        </w:tc>
        <w:tc>
          <w:tcPr>
            <w:shd w:val="clear" w:color="auto" w:fill="auto"/>
            <w:tcW w:w="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shd w:val="clear" w:color="auto" w:fill="auto"/>
            <w:tcW w:w="5058" w:type="dxa"/>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Height w:val="2329"/>
        </w:trPr>
        <w:tc>
          <w:tcPr>
            <w:shd w:val="clear" w:color="auto" w:fill="auto"/>
            <w:tcW w:w="630" w:type="dxa"/>
            <w:vAlign w:val="center"/>
            <w:vMerge w:val="restart"/>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三</w:t>
            </w:r>
            <w:r/>
          </w:p>
        </w:tc>
        <w:tc>
          <w:tcPr>
            <w:shd w:val="clear" w:color="auto" w:fill="auto"/>
            <w:tcW w:w="999" w:type="dxa"/>
            <w:vAlign w:val="center"/>
            <w:vMerge w:val="restart"/>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技术部分</w:t>
            </w:r>
            <w:r/>
          </w:p>
        </w:tc>
        <w:tc>
          <w:tcPr>
            <w:shd w:val="clear" w:color="auto" w:fill="auto"/>
            <w:tcW w:w="105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设备参数</w:t>
            </w:r>
            <w:r/>
          </w:p>
        </w:tc>
        <w:tc>
          <w:tcPr>
            <w:shd w:val="clear" w:color="auto" w:fill="auto"/>
            <w:tcW w:w="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shd w:val="clear" w:color="auto" w:fill="auto"/>
            <w:tcW w:w="5058" w:type="dxa"/>
            <w:vAlign w:val="center"/>
            <w:textDirection w:val="lrTb"/>
            <w:noWrap w:val="false"/>
          </w:tcPr>
          <w:p>
            <w:p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根据投标人提供货物的技术参数对招标文件的响应程度，全部满足招标文件的得10分，带“</w:t>
            </w:r>
            <w:r>
              <w:rPr>
                <w:rFonts w:hint="eastAsia" w:ascii="宋体" w:hAnsi="宋体" w:eastAsia="宋体" w:cs="宋体"/>
                <w:sz w:val="18"/>
                <w:szCs w:val="18"/>
                <w:highlight w:val="none"/>
                <w:lang w:bidi="ar"/>
              </w:rPr>
              <w:t xml:space="preserve">★</w:t>
            </w:r>
            <w:r>
              <w:rPr>
                <w:rFonts w:hint="eastAsia" w:ascii="宋体" w:hAnsi="宋体" w:eastAsia="宋体" w:cs="宋体"/>
                <w:bCs/>
                <w:szCs w:val="21"/>
                <w:highlight w:val="none"/>
              </w:rPr>
              <w:t xml:space="preserve">”的为重要参数，每负偏离一项扣1分扣完为止，</w:t>
            </w:r>
            <w:r>
              <w:rPr>
                <w:rFonts w:hint="eastAsia" w:ascii="宋体" w:hAnsi="宋体" w:eastAsia="宋体" w:cs="宋体"/>
                <w:b/>
                <w:szCs w:val="21"/>
                <w:highlight w:val="none"/>
              </w:rPr>
              <w:t xml:space="preserve">其他参数（带“◆”的除外）负偏离的作无效标处理</w:t>
            </w:r>
            <w:r>
              <w:rPr>
                <w:rFonts w:hint="eastAsia" w:ascii="宋体" w:hAnsi="宋体" w:eastAsia="宋体" w:cs="宋体"/>
                <w:bCs/>
                <w:szCs w:val="21"/>
                <w:highlight w:val="none"/>
              </w:rPr>
              <w:t xml:space="preserve">。</w:t>
            </w:r>
            <w:r/>
          </w:p>
          <w:p>
            <w:pPr>
              <w:ind w:firstLine="420"/>
              <w:rPr>
                <w:rFonts w:hint="eastAsia" w:ascii="宋体" w:hAnsi="宋体" w:eastAsia="宋体" w:cs="宋体"/>
                <w:szCs w:val="21"/>
                <w:highlight w:val="none"/>
              </w:rPr>
            </w:pPr>
            <w:r>
              <w:rPr>
                <w:rFonts w:hint="eastAsia" w:ascii="宋体" w:hAnsi="宋体" w:eastAsia="宋体" w:cs="宋体"/>
                <w:bCs/>
                <w:szCs w:val="21"/>
                <w:highlight w:val="none"/>
              </w:rPr>
              <w:t xml:space="preserve">注：带“</w:t>
            </w:r>
            <w:r>
              <w:rPr>
                <w:rFonts w:hint="eastAsia" w:ascii="宋体" w:hAnsi="宋体" w:eastAsia="宋体" w:cs="宋体"/>
                <w:sz w:val="18"/>
                <w:szCs w:val="18"/>
                <w:highlight w:val="none"/>
                <w:lang w:bidi="ar"/>
              </w:rPr>
              <w:t xml:space="preserve">★</w:t>
            </w:r>
            <w:r>
              <w:rPr>
                <w:rFonts w:hint="eastAsia" w:ascii="宋体" w:hAnsi="宋体" w:eastAsia="宋体" w:cs="宋体"/>
                <w:bCs/>
                <w:szCs w:val="21"/>
                <w:highlight w:val="none"/>
              </w:rPr>
              <w:t xml:space="preserve">”的参数均需提供加盖投标人公章的证明材料（只需提供以下资料之一即可：技术规格书、制造标准、检验标准、产品彩页、官网截图、国家认可的检测机构出具的检测报告等证明材料），评标委员会根据投标单位提供的证明材料进行核对打分，未提供相关证明材料或所提供材料不满足招标文件参数要求的视为负偏离；其他参数（带“</w:t>
            </w:r>
            <w:r>
              <w:rPr>
                <w:rFonts w:hint="eastAsia" w:ascii="宋体" w:hAnsi="宋体" w:eastAsia="宋体" w:cs="宋体"/>
                <w:sz w:val="18"/>
                <w:szCs w:val="18"/>
                <w:highlight w:val="none"/>
                <w:lang w:bidi="ar"/>
              </w:rPr>
              <w:t xml:space="preserve">◆</w:t>
            </w:r>
            <w:r>
              <w:rPr>
                <w:rFonts w:hint="eastAsia" w:ascii="宋体" w:hAnsi="宋体" w:eastAsia="宋体" w:cs="宋体"/>
                <w:bCs/>
                <w:szCs w:val="21"/>
                <w:highlight w:val="none"/>
              </w:rPr>
              <w:t xml:space="preserve">”的除外）需在偏离表中如实注明偏离情况。</w:t>
            </w:r>
            <w:r/>
          </w:p>
        </w:tc>
      </w:tr>
      <w:tr>
        <w:trPr>
          <w:jc w:val="center"/>
          <w:trHeight w:val="5036"/>
        </w:trPr>
        <w:tc>
          <w:tcPr>
            <w:shd w:val="clear" w:color="auto" w:fill="auto"/>
            <w:tcW w:w="630"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shd w:val="clear" w:color="auto" w:fill="auto"/>
            <w:tcW w:w="999"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shd w:val="clear" w:color="auto" w:fill="auto"/>
            <w:tcW w:w="105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交互演示</w:t>
            </w:r>
            <w:r/>
          </w:p>
        </w:tc>
        <w:tc>
          <w:tcPr>
            <w:shd w:val="clear" w:color="auto" w:fill="auto"/>
            <w:tcW w:w="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shd w:val="clear" w:color="auto" w:fill="auto"/>
            <w:tcW w:w="5058" w:type="dxa"/>
            <w:vAlign w:val="center"/>
            <w:textDirection w:val="lrTb"/>
            <w:noWrap w:val="false"/>
          </w:tcPr>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潜在供应商需按要求提供完整、清晰的资料，上传至“苏采云”系统。同时针对有疑义的地方，评标委员会可要求供应商以线上会议的方式，进行实操演示。如因供应商自身原因未能及时响应评标委员会实操演示要求而导致失分的，责任自负。</w:t>
            </w:r>
            <w:r/>
          </w:p>
          <w:p>
            <w:pPr>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一、核心交互演示（提供视频） 6分</w:t>
            </w:r>
            <w:r/>
          </w:p>
          <w:p>
            <w:pPr>
              <w:jc w:val="left"/>
              <w:rPr>
                <w:rFonts w:hint="eastAsia" w:ascii="宋体" w:hAnsi="宋体" w:eastAsia="宋体" w:cs="宋体"/>
                <w:bCs/>
                <w:szCs w:val="21"/>
                <w:highlight w:val="none"/>
              </w:rPr>
            </w:pPr>
            <w:r>
              <w:rPr>
                <w:rFonts w:hint="eastAsia" w:ascii="宋体" w:hAnsi="宋体" w:eastAsia="宋体" w:cs="宋体"/>
                <w:bCs/>
                <w:szCs w:val="21"/>
                <w:highlight w:val="none"/>
              </w:rPr>
              <w:tab/>
            </w:r>
            <w:r>
              <w:rPr>
                <w:rFonts w:hint="eastAsia" w:ascii="宋体" w:hAnsi="宋体" w:eastAsia="宋体" w:cs="宋体"/>
                <w:bCs/>
                <w:szCs w:val="21"/>
                <w:highlight w:val="none"/>
              </w:rPr>
              <w:t xml:space="preserve">演示视频中必须清晰展示以下6项核心交互操作，每展示一项得1分（不限于一个完整的实验或探究）：</w:t>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 物体抓取与释放</w:t>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 物体旋转与缩放</w:t>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 UI界面点选（如开始、退出按钮）</w:t>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 工具使用（如使用摄子）</w:t>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 空间移动（如行走）</w:t>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 完成一个实验步骤（如点燃酒精灯）</w:t>
            </w:r>
            <w:r/>
          </w:p>
          <w:p>
            <w:pPr>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二、技术实现与性能</w:t>
            </w:r>
            <w:r>
              <w:rPr>
                <w:rFonts w:hint="eastAsia" w:ascii="宋体" w:hAnsi="宋体" w:eastAsia="宋体" w:cs="宋体"/>
                <w:bCs/>
                <w:szCs w:val="21"/>
                <w:highlight w:val="none"/>
              </w:rPr>
              <w:tab/>
            </w:r>
            <w:r>
              <w:rPr>
                <w:rFonts w:hint="eastAsia" w:ascii="宋体" w:hAnsi="宋体" w:eastAsia="宋体" w:cs="宋体"/>
                <w:bCs/>
                <w:szCs w:val="21"/>
                <w:highlight w:val="none"/>
              </w:rPr>
              <w:t xml:space="preserve">4分</w:t>
            </w:r>
            <w:r>
              <w:rPr>
                <w:rFonts w:hint="eastAsia" w:ascii="宋体" w:hAnsi="宋体" w:eastAsia="宋体" w:cs="宋体"/>
                <w:bCs/>
                <w:szCs w:val="21"/>
                <w:highlight w:val="none"/>
              </w:rPr>
              <w:tab/>
            </w:r>
            <w:r/>
          </w:p>
          <w:p>
            <w:pPr>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2.1 画面渲染效果 2分</w:t>
            </w:r>
            <w:r>
              <w:rPr>
                <w:rFonts w:hint="eastAsia" w:ascii="宋体" w:hAnsi="宋体" w:eastAsia="宋体" w:cs="宋体"/>
                <w:bCs/>
                <w:szCs w:val="21"/>
                <w:highlight w:val="none"/>
              </w:rPr>
              <w:tab/>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由评委会根据提交的高清演示视频评判：模型精细、光影效果真实、UI清晰美观。出现明显模型穿帮、纹理模糊、UI错位等情况酌情扣分。</w:t>
            </w:r>
            <w:r/>
          </w:p>
          <w:p>
            <w:pPr>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2.2 运行流畅度</w:t>
            </w:r>
            <w:r>
              <w:rPr>
                <w:rFonts w:hint="eastAsia" w:ascii="宋体" w:hAnsi="宋体" w:eastAsia="宋体" w:cs="宋体"/>
                <w:bCs/>
                <w:szCs w:val="21"/>
                <w:highlight w:val="none"/>
              </w:rPr>
              <w:tab/>
            </w:r>
            <w:r>
              <w:rPr>
                <w:rFonts w:hint="eastAsia" w:ascii="宋体" w:hAnsi="宋体" w:eastAsia="宋体" w:cs="宋体"/>
                <w:bCs/>
                <w:szCs w:val="21"/>
                <w:highlight w:val="none"/>
              </w:rPr>
              <w:t xml:space="preserve">2分</w:t>
            </w:r>
            <w:r>
              <w:rPr>
                <w:rFonts w:hint="eastAsia" w:ascii="宋体" w:hAnsi="宋体" w:eastAsia="宋体" w:cs="宋体"/>
                <w:bCs/>
                <w:szCs w:val="21"/>
                <w:highlight w:val="none"/>
              </w:rPr>
              <w:tab/>
            </w:r>
            <w:r/>
          </w:p>
          <w:p>
            <w:pPr>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 xml:space="preserve">演示视频中需包含快速、连续的交互操作，画面不得出现明显卡顿、拖影或掉帧。流畅得2分，轻微卡顿得1分，严重卡顿得0分。同时</w:t>
            </w:r>
            <w:r>
              <w:rPr>
                <w:rFonts w:hint="eastAsia" w:ascii="宋体" w:hAnsi="宋体" w:eastAsia="宋体" w:cs="宋体"/>
                <w:b/>
                <w:szCs w:val="21"/>
                <w:highlight w:val="none"/>
              </w:rPr>
              <w:t xml:space="preserve">需提交书面承诺</w:t>
            </w:r>
            <w:r>
              <w:rPr>
                <w:rFonts w:hint="eastAsia" w:ascii="宋体" w:hAnsi="宋体" w:eastAsia="宋体" w:cs="宋体"/>
                <w:bCs/>
                <w:szCs w:val="21"/>
                <w:highlight w:val="none"/>
              </w:rPr>
              <w:t xml:space="preserve">，保证所投VR终端上运行所有VR资源质量不低于演示视频中的VR资源。</w:t>
            </w:r>
            <w:r/>
          </w:p>
        </w:tc>
      </w:tr>
      <w:tr>
        <w:trPr>
          <w:jc w:val="center"/>
          <w:trHeight w:val="1555"/>
        </w:trPr>
        <w:tc>
          <w:tcPr>
            <w:shd w:val="clear" w:color="auto" w:fill="auto"/>
            <w:tcW w:w="630"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shd w:val="clear" w:color="auto" w:fill="auto"/>
            <w:tcW w:w="999"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shd w:val="clear" w:color="auto" w:fill="auto"/>
            <w:tcW w:w="105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作品数量</w:t>
            </w:r>
            <w:r/>
          </w:p>
        </w:tc>
        <w:tc>
          <w:tcPr>
            <w:shd w:val="clear" w:color="auto" w:fill="auto"/>
            <w:tcW w:w="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45</w:t>
            </w:r>
            <w:r/>
          </w:p>
        </w:tc>
        <w:tc>
          <w:tcPr>
            <w:shd w:val="clear" w:color="auto" w:fill="auto"/>
            <w:tcW w:w="5058" w:type="dxa"/>
            <w:vAlign w:val="center"/>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t xml:space="preserve">潜在供应商需按带“◆”处的要求提供完整、清晰的资料，上传至“苏采云”系统。</w:t>
            </w:r>
            <w:r/>
          </w:p>
          <w:p>
            <w:pPr>
              <w:rPr>
                <w:rFonts w:hint="eastAsia" w:ascii="宋体" w:hAnsi="宋体" w:eastAsia="宋体" w:cs="宋体"/>
                <w:bCs/>
                <w:szCs w:val="21"/>
                <w:highlight w:val="none"/>
              </w:rPr>
            </w:pPr>
            <w:r>
              <w:rPr>
                <w:rFonts w:hint="eastAsia" w:ascii="宋体" w:hAnsi="宋体" w:eastAsia="宋体" w:cs="宋体"/>
                <w:bCs/>
                <w:szCs w:val="21"/>
                <w:highlight w:val="none"/>
              </w:rPr>
              <w:t xml:space="preserve">1、初中理化生VR资源，每个VR资源以0.1分计，最多计25分；</w:t>
            </w:r>
            <w:r/>
          </w:p>
          <w:p>
            <w:pPr>
              <w:rPr>
                <w:rFonts w:hint="eastAsia" w:ascii="宋体" w:hAnsi="宋体" w:eastAsia="宋体" w:cs="宋体"/>
                <w:bCs/>
                <w:szCs w:val="21"/>
                <w:highlight w:val="none"/>
              </w:rPr>
            </w:pPr>
            <w:r>
              <w:rPr>
                <w:rFonts w:hint="eastAsia" w:ascii="宋体" w:hAnsi="宋体" w:eastAsia="宋体" w:cs="宋体"/>
                <w:bCs/>
                <w:szCs w:val="21"/>
                <w:highlight w:val="none"/>
              </w:rPr>
              <w:t xml:space="preserve">2、初中语文VR资源，每个VR资源以0.1分计，最多计5分；</w:t>
            </w:r>
            <w:r/>
          </w:p>
          <w:p>
            <w:pPr>
              <w:rPr>
                <w:rFonts w:hint="eastAsia" w:ascii="宋体" w:hAnsi="宋体" w:eastAsia="宋体" w:cs="宋体"/>
                <w:b/>
                <w:szCs w:val="21"/>
                <w:highlight w:val="none"/>
              </w:rPr>
            </w:pPr>
            <w:r>
              <w:rPr>
                <w:rFonts w:hint="eastAsia" w:ascii="宋体" w:hAnsi="宋体" w:eastAsia="宋体" w:cs="宋体"/>
                <w:bCs/>
                <w:szCs w:val="21"/>
                <w:highlight w:val="none"/>
              </w:rPr>
              <w:t xml:space="preserve">3、初中综合课程VR资源，每个VR资源以0.03分计最多计15分。</w:t>
            </w:r>
            <w:r/>
          </w:p>
        </w:tc>
      </w:tr>
      <w:tr>
        <w:trPr>
          <w:jc w:val="center"/>
          <w:trHeight w:val="1755"/>
        </w:trPr>
        <w:tc>
          <w:tcPr>
            <w:shd w:val="clear" w:color="auto" w:fill="auto"/>
            <w:tcW w:w="63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四</w:t>
            </w:r>
            <w:r/>
          </w:p>
        </w:tc>
        <w:tc>
          <w:tcPr>
            <w:shd w:val="clear" w:color="auto" w:fill="auto"/>
            <w:tcW w:w="99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服务水平</w:t>
            </w:r>
            <w:r/>
          </w:p>
        </w:tc>
        <w:tc>
          <w:tcPr>
            <w:shd w:val="clear" w:color="auto" w:fill="auto"/>
            <w:tcW w:w="1057"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项目实施</w:t>
            </w:r>
            <w:r/>
          </w:p>
        </w:tc>
        <w:tc>
          <w:tcPr>
            <w:shd w:val="clear" w:color="auto" w:fill="auto"/>
            <w:tcW w:w="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shd w:val="clear" w:color="auto" w:fill="auto"/>
            <w:tcW w:w="5058" w:type="dxa"/>
            <w:vAlign w:val="center"/>
            <w:textDirection w:val="lrTb"/>
            <w:noWrap w:val="false"/>
          </w:tcPr>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投标人根据项目实际建设需求，提供项目实施方案，方案须包含但不限于以下内容：</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1、供货计划、进度保障措施；</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2、培训计划；</w:t>
            </w:r>
            <w:r/>
          </w:p>
          <w:p>
            <w:pPr>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3、续保优惠措施。</w:t>
            </w:r>
            <w:r/>
          </w:p>
          <w:p>
            <w:pPr>
              <w:ind w:firstLine="420"/>
              <w:jc w:val="left"/>
              <w:rPr>
                <w:rFonts w:hint="eastAsia" w:ascii="宋体" w:hAnsi="宋体" w:eastAsia="宋体" w:cs="宋体"/>
                <w:bCs/>
                <w:szCs w:val="21"/>
                <w:highlight w:val="none"/>
              </w:rPr>
            </w:pPr>
            <w:r>
              <w:rPr>
                <w:rFonts w:hint="eastAsia" w:ascii="宋体" w:hAnsi="宋体" w:eastAsia="宋体" w:cs="宋体"/>
                <w:szCs w:val="21"/>
                <w:highlight w:val="none"/>
              </w:rPr>
              <w:t xml:space="preserve">评委根据方案的真实性、完整性、合理性等方面进行评分，单项最高得1分，总计3分。单项方案详细、全面、科学合理得1分，方案可操作性、内容完整性欠缺得0.5分，未提供不得分。</w:t>
            </w:r>
            <w:r/>
          </w:p>
        </w:tc>
      </w:tr>
    </w:tbl>
    <w:p>
      <w:pPr>
        <w:pStyle w:val="758"/>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58"/>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58"/>
        <w:jc w:val="center"/>
        <w:spacing w:beforeAutospacing="0" w:afterAutospacing="0"/>
        <w:rPr>
          <w:rFonts w:hint="eastAsia" w:ascii="宋体" w:hAnsi="宋体" w:eastAsia="宋体" w:cs="宋体"/>
          <w:b/>
          <w:color w:val="auto"/>
          <w:sz w:val="72"/>
          <w:szCs w:val="72"/>
          <w:highlight w:val="none"/>
        </w:rPr>
      </w:pPr>
      <w:r/>
      <w:bookmarkStart w:id="181" w:name="_Toc120614282"/>
      <w:r/>
      <w:bookmarkEnd w:id="181"/>
      <w:r/>
      <w:bookmarkStart w:id="182" w:name="_Toc49090576"/>
      <w:r/>
      <w:bookmarkEnd w:id="182"/>
      <w:r/>
      <w:bookmarkStart w:id="183" w:name="_Hlt26955039"/>
      <w:r/>
      <w:bookmarkStart w:id="184" w:name="_Hlt26671244"/>
      <w:r/>
      <w:bookmarkStart w:id="185" w:name="_Toc26554094"/>
      <w:r/>
      <w:r/>
    </w:p>
    <w:p>
      <w:pPr>
        <w:pStyle w:val="75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58"/>
        <w:jc w:val="center"/>
        <w:spacing w:beforeAutospacing="0" w:afterAutospacing="0"/>
        <w:rPr>
          <w:color w:val="auto"/>
          <w:highlight w:val="none"/>
        </w:rPr>
      </w:pPr>
      <w:r>
        <w:rPr>
          <w:color w:val="auto"/>
          <w:highlight w:val="none"/>
        </w:rPr>
        <w:t xml:space="preserve"> </w:t>
      </w:r>
      <w:r/>
    </w:p>
    <w:p>
      <w:pPr>
        <w:pStyle w:val="758"/>
        <w:jc w:val="center"/>
        <w:spacing w:beforeAutospacing="0" w:afterAutospacing="0"/>
        <w:rPr>
          <w:color w:val="auto"/>
          <w:highlight w:val="none"/>
        </w:rPr>
      </w:pPr>
      <w:r>
        <w:rPr>
          <w:color w:val="auto"/>
          <w:highlight w:val="none"/>
        </w:rPr>
        <w:t xml:space="preserve"> </w:t>
      </w:r>
      <w:r/>
    </w:p>
    <w:p>
      <w:pPr>
        <w:pStyle w:val="758"/>
        <w:jc w:val="center"/>
        <w:spacing w:beforeAutospacing="0" w:afterAutospacing="0"/>
        <w:rPr>
          <w:color w:val="auto"/>
          <w:highlight w:val="none"/>
        </w:rPr>
      </w:pPr>
      <w:r>
        <w:rPr>
          <w:color w:val="auto"/>
          <w:highlight w:val="none"/>
        </w:rPr>
        <w:t xml:space="preserve"> </w:t>
      </w:r>
      <w:r/>
    </w:p>
    <w:p>
      <w:pPr>
        <w:pStyle w:val="758"/>
        <w:jc w:val="center"/>
        <w:spacing w:beforeAutospacing="0" w:afterAutospacing="0"/>
        <w:rPr>
          <w:color w:val="auto"/>
          <w:highlight w:val="none"/>
        </w:rPr>
      </w:pPr>
      <w:r>
        <w:rPr>
          <w:color w:val="auto"/>
          <w:highlight w:val="none"/>
        </w:rPr>
        <w:t xml:space="preserve"> </w:t>
      </w:r>
      <w:r/>
    </w:p>
    <w:p>
      <w:pPr>
        <w:pStyle w:val="758"/>
        <w:jc w:val="center"/>
        <w:spacing w:beforeAutospacing="0" w:afterAutospacing="0"/>
        <w:rPr>
          <w:color w:val="auto"/>
          <w:highlight w:val="none"/>
        </w:rPr>
      </w:pPr>
      <w:r>
        <w:rPr>
          <w:color w:val="auto"/>
          <w:highlight w:val="none"/>
        </w:rPr>
        <w:t xml:space="preserve"> </w:t>
      </w:r>
      <w:r/>
    </w:p>
    <w:p>
      <w:pPr>
        <w:pStyle w:val="75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5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58"/>
        <w:jc w:val="both"/>
        <w:spacing w:beforeAutospacing="0" w:afterAutospacing="0"/>
        <w:rPr>
          <w:rFonts w:eastAsia="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5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一、法人或者其他组织的营业执照等证明文件，自然人的身份证明</w:t>
      </w:r>
      <w:r/>
    </w:p>
    <w:p>
      <w:pPr>
        <w:pStyle w:val="758"/>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二、上一年度或上上年度的财务状况报表（至少提供资产负债表、利润表、现金流量表，投标人成立不满一年无需提供）</w:t>
      </w:r>
      <w:r/>
    </w:p>
    <w:p>
      <w:pPr>
        <w:pStyle w:val="758"/>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三、具备履行合同所必需的设备和专业技术能力的书面声明</w:t>
      </w:r>
      <w:r/>
    </w:p>
    <w:p>
      <w:pPr>
        <w:pStyle w:val="758"/>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8"/>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五、参加政府采购活动前 3 年内在经营活动中没有重大违法记录的书面声明</w:t>
      </w:r>
      <w:r/>
    </w:p>
    <w:p>
      <w:pPr>
        <w:pStyle w:val="758"/>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六、投标人法定代表人身份证明和投标文件签署授权委托书（另附法定代表人和被授权人的身份证复印件）</w:t>
      </w:r>
      <w:r/>
    </w:p>
    <w:p>
      <w:pPr>
        <w:pStyle w:val="758"/>
        <w:ind w:firstLine="482"/>
        <w:jc w:val="both"/>
        <w:spacing w:beforeAutospacing="0" w:afterAutospacing="0" w:line="480" w:lineRule="exact"/>
        <w:rPr>
          <w:iCs/>
          <w:color w:val="auto"/>
          <w:highlight w:val="none"/>
        </w:rPr>
      </w:pPr>
      <w:r>
        <w:rPr>
          <w:rFonts w:hint="eastAsia" w:ascii="宋体" w:hAnsi="宋体" w:eastAsia="宋体" w:cs="宋体"/>
          <w:color w:val="auto"/>
          <w:highlight w:val="none"/>
        </w:rPr>
        <w:t xml:space="preserve">七、投标人为被授权人缴纳的社会养老保险证明</w:t>
      </w:r>
      <w:r/>
    </w:p>
    <w:p>
      <w:pPr>
        <w:pStyle w:val="758"/>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八、投标函</w:t>
      </w:r>
      <w:r/>
    </w:p>
    <w:p>
      <w:pPr>
        <w:pStyle w:val="758"/>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九、政府强制采购产品认证证书</w:t>
      </w:r>
      <w:r/>
    </w:p>
    <w:p>
      <w:pPr>
        <w:pStyle w:val="758"/>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十、中小企业声明函</w:t>
      </w:r>
      <w:r/>
    </w:p>
    <w:p>
      <w:pPr>
        <w:pStyle w:val="758"/>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十一、残疾人福利性单位声明函</w:t>
      </w:r>
      <w:r/>
    </w:p>
    <w:p>
      <w:pPr>
        <w:pStyle w:val="758"/>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十二、投标分项报价表</w:t>
      </w:r>
      <w:r/>
    </w:p>
    <w:p>
      <w:pPr>
        <w:pStyle w:val="758"/>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十三、盐城市政府采购事前信用承诺书</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ind w:firstLine="480"/>
        <w:jc w:val="both"/>
        <w:spacing w:beforeAutospacing="0" w:afterAutospacing="0" w:line="0" w:lineRule="atLeast"/>
        <w:rPr>
          <w:color w:val="auto"/>
          <w:highlight w:val="none"/>
        </w:rPr>
      </w:pPr>
      <w:r>
        <w:rPr>
          <w:color w:val="auto"/>
          <w:highlight w:val="none"/>
        </w:rPr>
      </w:r>
      <w:r/>
    </w:p>
    <w:p>
      <w:pPr>
        <w:pStyle w:val="758"/>
        <w:ind w:firstLine="480"/>
        <w:jc w:val="both"/>
        <w:spacing w:beforeAutospacing="0" w:afterAutospacing="0" w:line="0" w:lineRule="atLeast"/>
        <w:rPr>
          <w:color w:val="auto"/>
          <w:highlight w:val="none"/>
        </w:rPr>
      </w:pPr>
      <w:r>
        <w:rPr>
          <w:color w:val="auto"/>
          <w:highlight w:val="none"/>
        </w:rPr>
      </w:r>
      <w:r/>
    </w:p>
    <w:p>
      <w:pPr>
        <w:pStyle w:val="758"/>
        <w:ind w:firstLine="480"/>
        <w:jc w:val="both"/>
        <w:spacing w:beforeAutospacing="0" w:afterAutospacing="0" w:line="0" w:lineRule="atLeast"/>
        <w:rPr>
          <w:color w:val="auto"/>
          <w:highlight w:val="none"/>
        </w:rPr>
      </w:pPr>
      <w:r>
        <w:rPr>
          <w:color w:val="auto"/>
          <w:highlight w:val="none"/>
        </w:rPr>
      </w:r>
      <w:r/>
    </w:p>
    <w:p>
      <w:pPr>
        <w:pStyle w:val="758"/>
        <w:ind w:firstLine="480"/>
        <w:jc w:val="both"/>
        <w:spacing w:beforeAutospacing="0" w:afterAutospacing="0" w:line="0" w:lineRule="atLeast"/>
        <w:rPr>
          <w:color w:val="auto"/>
          <w:highlight w:val="none"/>
        </w:rPr>
      </w:pPr>
      <w:r>
        <w:rPr>
          <w:color w:val="auto"/>
          <w:highlight w:val="none"/>
        </w:rPr>
      </w:r>
      <w:r/>
    </w:p>
    <w:p>
      <w:pPr>
        <w:pStyle w:val="758"/>
        <w:ind w:firstLine="480"/>
        <w:jc w:val="both"/>
        <w:spacing w:beforeAutospacing="0" w:afterAutospacing="0" w:line="0" w:lineRule="atLeast"/>
        <w:rPr>
          <w:color w:val="auto"/>
          <w:highlight w:val="none"/>
        </w:rPr>
      </w:pPr>
      <w:r>
        <w:rPr>
          <w:color w:val="auto"/>
          <w:highlight w:val="none"/>
        </w:rPr>
      </w:r>
      <w:r/>
    </w:p>
    <w:p>
      <w:pPr>
        <w:pStyle w:val="758"/>
        <w:ind w:firstLine="480"/>
        <w:jc w:val="both"/>
        <w:spacing w:beforeAutospacing="0" w:afterAutospacing="0" w:line="0" w:lineRule="atLeast"/>
        <w:rPr>
          <w:color w:val="auto"/>
          <w:highlight w:val="none"/>
        </w:rPr>
      </w:pPr>
      <w:r>
        <w:rPr>
          <w:color w:val="auto"/>
          <w:highlight w:val="none"/>
        </w:rPr>
      </w:r>
      <w:r/>
    </w:p>
    <w:p>
      <w:pPr>
        <w:pStyle w:val="758"/>
        <w:ind w:firstLine="480"/>
        <w:jc w:val="both"/>
        <w:spacing w:beforeAutospacing="0" w:afterAutospacing="0" w:line="0" w:lineRule="atLeast"/>
        <w:rPr>
          <w:color w:val="auto"/>
          <w:highlight w:val="none"/>
        </w:rPr>
      </w:pPr>
      <w:r>
        <w:rPr>
          <w:color w:val="auto"/>
          <w:highlight w:val="none"/>
        </w:rPr>
      </w:r>
      <w:r/>
    </w:p>
    <w:p>
      <w:pPr>
        <w:pStyle w:val="758"/>
        <w:ind w:firstLine="480"/>
        <w:jc w:val="both"/>
        <w:spacing w:beforeAutospacing="0" w:afterAutospacing="0" w:line="0" w:lineRule="atLeast"/>
        <w:rPr>
          <w:color w:val="auto"/>
          <w:highlight w:val="none"/>
        </w:rPr>
      </w:pPr>
      <w:r>
        <w:rPr>
          <w:color w:val="auto"/>
          <w:highlight w:val="none"/>
        </w:rPr>
      </w:r>
      <w:r/>
    </w:p>
    <w:p>
      <w:pPr>
        <w:pStyle w:val="75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58"/>
        <w:ind w:firstLine="480"/>
        <w:jc w:val="both"/>
        <w:spacing w:beforeAutospacing="0" w:afterAutospacing="0" w:line="0" w:lineRule="atLeast"/>
        <w:rPr>
          <w:color w:val="auto"/>
          <w:highlight w:val="none"/>
        </w:rPr>
      </w:pPr>
      <w:r>
        <w:rPr>
          <w:color w:val="auto"/>
          <w:highlight w:val="none"/>
        </w:rPr>
        <w:t xml:space="preserve"> </w:t>
      </w:r>
      <w:r/>
    </w:p>
    <w:p>
      <w:pPr>
        <w:pStyle w:val="758"/>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75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投标人成立不满一年无需提供</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758"/>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58"/>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5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758"/>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58"/>
        <w:jc w:val="both"/>
        <w:spacing w:beforeAutospacing="0" w:afterAutospacing="0"/>
        <w:rPr>
          <w:color w:val="auto"/>
          <w:highlight w:val="none"/>
        </w:rPr>
      </w:pPr>
      <w:r>
        <w:rPr>
          <w:color w:val="auto"/>
          <w:highlight w:val="none"/>
        </w:rPr>
        <w:t xml:space="preserve"> </w:t>
      </w:r>
      <w:r/>
    </w:p>
    <w:p>
      <w:pPr>
        <w:pStyle w:val="75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58"/>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58"/>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58"/>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58"/>
        <w:jc w:val="both"/>
        <w:spacing w:beforeAutospacing="0" w:afterAutospacing="0"/>
        <w:rPr>
          <w:color w:val="auto"/>
          <w:highlight w:val="none"/>
        </w:rPr>
      </w:pPr>
      <w:r>
        <w:rPr>
          <w:color w:val="auto"/>
          <w:highlight w:val="none"/>
        </w:rPr>
        <w:t xml:space="preserve"> </w:t>
      </w:r>
      <w:r/>
    </w:p>
    <w:p>
      <w:pPr>
        <w:pStyle w:val="758"/>
        <w:jc w:val="center"/>
        <w:spacing w:beforeAutospacing="0" w:afterAutospacing="0"/>
        <w:rPr>
          <w:rFonts w:hint="eastAsia" w:ascii="黑体" w:hAnsi="宋体" w:eastAsia="黑体" w:cs="黑体"/>
          <w:i/>
          <w:color w:val="auto"/>
          <w:sz w:val="32"/>
          <w:szCs w:val="32"/>
          <w:highlight w:val="none"/>
          <w:u w:val="single"/>
        </w:rPr>
      </w:pPr>
      <w:r/>
      <w:bookmarkStart w:id="186" w:name="_Toc120614284"/>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8"/>
        <w:jc w:val="both"/>
        <w:spacing w:beforeAutospacing="0" w:afterAutospacing="0"/>
        <w:rPr>
          <w:color w:val="auto"/>
          <w:highlight w:val="none"/>
        </w:rPr>
      </w:pPr>
      <w:r/>
      <w:bookmarkStart w:id="187" w:name="_Hlt26671380"/>
      <w:r/>
      <w:bookmarkStart w:id="188" w:name="_Hlt26955070"/>
      <w:r/>
      <w:bookmarkStart w:id="189" w:name="_格式3__银行出具的资信证明"/>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ascii="黑体" w:eastAsia="黑体"/>
          <w:b/>
          <w:bCs/>
          <w:color w:val="auto"/>
          <w:sz w:val="32"/>
          <w:szCs w:val="32"/>
          <w:highlight w:val="none"/>
        </w:rPr>
        <w:outlineLvl w:val="1"/>
      </w:pPr>
      <w:r>
        <w:rPr>
          <w:rFonts w:hint="eastAsia" w:ascii="黑体" w:hAnsi="Calibri" w:eastAsia="黑体"/>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：（采购人名称）</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（法定代表人姓名） </w:t>
      </w:r>
      <w:r>
        <w:rPr>
          <w:rFonts w:hint="eastAsia" w:ascii="仿宋_GB2312" w:eastAsia="仿宋_GB2312"/>
          <w:color w:val="auto"/>
          <w:sz w:val="24"/>
          <w:highlight w:val="none"/>
        </w:rPr>
        <w:t xml:space="preserve">在</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任</w:t>
      </w:r>
      <w:r>
        <w:rPr>
          <w:rFonts w:hint="eastAsia" w:ascii="仿宋_GB2312" w:eastAsia="仿宋_GB2312"/>
          <w:color w:val="auto"/>
          <w:sz w:val="24"/>
          <w:highlight w:val="none"/>
          <w:u w:val="single"/>
        </w:rPr>
        <w:t xml:space="preserve">（职务名称）</w:t>
      </w:r>
      <w:r>
        <w:rPr>
          <w:rFonts w:hint="eastAsia" w:ascii="仿宋_GB2312" w:eastAsia="仿宋_GB2312"/>
          <w:color w:val="auto"/>
          <w:sz w:val="24"/>
          <w:highlight w:val="none"/>
        </w:rPr>
        <w:t xml:space="preserve">职务，是</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的法定代表人，联系电话（手机号码）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特此证明。</w:t>
      </w:r>
      <w:r/>
    </w:p>
    <w:p>
      <w:pPr>
        <w:ind w:firstLine="45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      </w:t>
      </w:r>
      <w:r/>
    </w:p>
    <w:p>
      <w:pPr>
        <w:ind w:firstLine="120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 </w:t>
      </w:r>
      <w:r/>
    </w:p>
    <w:p>
      <w:pPr>
        <w:jc w:val="left"/>
        <w:spacing w:line="600" w:lineRule="exact"/>
        <w:rPr>
          <w:rFonts w:ascii="仿宋_GB2312" w:eastAsia="仿宋_GB2312"/>
          <w:b/>
          <w:bCs/>
          <w:color w:val="auto"/>
          <w:sz w:val="24"/>
          <w:highlight w:val="none"/>
        </w:rPr>
      </w:pPr>
      <w:r>
        <w:rPr>
          <w:rFonts w:ascii="仿宋_GB2312" w:eastAsia="仿宋_GB2312"/>
          <w:b/>
          <w:bCs/>
          <w:color w:val="auto"/>
          <w:sz w:val="24"/>
          <w:highlight w:val="none"/>
        </w:rPr>
      </w:r>
      <w:r/>
    </w:p>
    <w:p>
      <w:pPr>
        <w:jc w:val="left"/>
        <w:spacing w:line="6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ascii="黑体" w:eastAsia="黑体"/>
          <w:color w:val="auto"/>
          <w:sz w:val="28"/>
          <w:highlight w:val="none"/>
        </w:rPr>
      </w:pPr>
      <w:r>
        <w:rPr>
          <w:rFonts w:ascii="仿宋_GB2312" w:eastAsia="仿宋_GB2312"/>
          <w:color w:val="auto"/>
          <w:sz w:val="24"/>
          <w:highlight w:val="none"/>
        </w:rPr>
        <w:br w:type="page" w:clear="all"/>
      </w:r>
      <w:r>
        <w:rPr>
          <w:rFonts w:hint="eastAsia" w:ascii="黑体" w:hAnsi="Calibri" w:eastAsia="黑体"/>
          <w:b/>
          <w:bCs/>
          <w:color w:val="auto"/>
          <w:sz w:val="32"/>
          <w:szCs w:val="32"/>
          <w:highlight w:val="none"/>
        </w:rPr>
        <w:t xml:space="preserve">投标文件</w:t>
      </w:r>
      <w:r>
        <w:rPr>
          <w:rFonts w:hint="eastAsia" w:ascii="黑体" w:eastAsia="黑体"/>
          <w:b/>
          <w:bCs/>
          <w:color w:val="auto"/>
          <w:sz w:val="32"/>
          <w:szCs w:val="32"/>
          <w:highlight w:val="none"/>
        </w:rPr>
        <w:t xml:space="preserve">签署授权委托书</w:t>
      </w:r>
      <w:r/>
    </w:p>
    <w:p>
      <w:pPr>
        <w:jc w:val="center"/>
        <w:spacing w:line="400" w:lineRule="exact"/>
        <w:rPr>
          <w:rFonts w:ascii="黑体" w:eastAsia="黑体"/>
          <w:b/>
          <w:color w:val="auto"/>
          <w:sz w:val="28"/>
          <w:highlight w:val="none"/>
        </w:rPr>
      </w:pPr>
      <w:r>
        <w:rPr>
          <w:rFonts w:ascii="黑体" w:eastAsia="黑体"/>
          <w:b/>
          <w:color w:val="auto"/>
          <w:sz w:val="28"/>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本授权委托书声明：我</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系</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的法定代表人，现授权</w:t>
      </w:r>
      <w:r>
        <w:rPr>
          <w:rFonts w:hint="eastAsia" w:ascii="仿宋_GB2312" w:eastAsia="仿宋_GB2312"/>
          <w:color w:val="auto"/>
          <w:sz w:val="24"/>
          <w:highlight w:val="none"/>
          <w:u w:val="single"/>
        </w:rPr>
        <w:t xml:space="preserve">         （投标人名称）</w:t>
      </w:r>
      <w:r>
        <w:rPr>
          <w:rFonts w:hint="eastAsia" w:ascii="仿宋_GB2312" w:eastAsia="仿宋_GB2312"/>
          <w:color w:val="auto"/>
          <w:sz w:val="24"/>
          <w:highlight w:val="none"/>
        </w:rPr>
        <w:t xml:space="preserve">的</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为我公司签署本项目的投标文件的法定代表人授权委托代理人，我承认被授权人全权代表我所签署的本项目的投标文件的内容。</w:t>
      </w:r>
      <w:r/>
    </w:p>
    <w:p>
      <w:pPr>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特此委托。</w:t>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hAnsi="Calibri" w:eastAsia="仿宋_GB2312"/>
          <w:color w:val="auto"/>
          <w:sz w:val="24"/>
          <w:highlight w:val="none"/>
        </w:rPr>
        <w:t xml:space="preserve">代理人（</w:t>
      </w:r>
      <w:r>
        <w:rPr>
          <w:rFonts w:hint="eastAsia" w:ascii="仿宋_GB2312" w:eastAsia="仿宋_GB2312"/>
          <w:color w:val="auto"/>
          <w:sz w:val="24"/>
          <w:highlight w:val="none"/>
        </w:rPr>
        <w:t xml:space="preserve">被授权人</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联系电话：</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身份证号码：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职务：</w:t>
      </w:r>
      <w:r>
        <w:rPr>
          <w:rFonts w:hint="eastAsia" w:ascii="仿宋_GB2312" w:eastAsia="仿宋_GB2312"/>
          <w:color w:val="auto"/>
          <w:sz w:val="24"/>
          <w:highlight w:val="none"/>
          <w:u w:val="single"/>
        </w:rPr>
        <w:t xml:space="preserve">        </w:t>
      </w:r>
      <w:r/>
    </w:p>
    <w:p>
      <w:pPr>
        <w:pStyle w:val="913"/>
        <w:rPr>
          <w:color w:val="auto"/>
          <w:highlight w:val="none"/>
        </w:rPr>
      </w:pPr>
      <w:r>
        <w:rPr>
          <w:color w:val="auto"/>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szCs w:val="22"/>
          <w:highlight w:val="none"/>
        </w:rPr>
        <w:t xml:space="preserve">联系号码（手机号码）；</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（盖单位公章）</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授权委托日期：</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left"/>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（附：被授权人身份证正反面复印件）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764"/>
        <w:rPr>
          <w:rFonts w:hint="default" w:ascii="黑体" w:eastAsia="黑体"/>
          <w:color w:val="auto"/>
          <w:sz w:val="28"/>
          <w:highlight w:val="none"/>
        </w:rPr>
      </w:pPr>
      <w:r>
        <w:rPr>
          <w:rFonts w:hint="default" w:ascii="黑体" w:eastAsia="黑体"/>
          <w:color w:val="auto"/>
          <w:sz w:val="28"/>
          <w:highlight w:val="none"/>
        </w:rPr>
      </w:r>
      <w:r/>
    </w:p>
    <w:p>
      <w:pPr>
        <w:pStyle w:val="764"/>
        <w:rPr>
          <w:rFonts w:hint="default" w:ascii="黑体" w:eastAsia="黑体"/>
          <w:color w:val="auto"/>
          <w:sz w:val="28"/>
          <w:highlight w:val="none"/>
        </w:rPr>
      </w:pPr>
      <w:r>
        <w:rPr>
          <w:rFonts w:hint="default" w:ascii="黑体" w:eastAsia="黑体"/>
          <w:color w:val="auto"/>
          <w:sz w:val="28"/>
          <w:highlight w:val="none"/>
        </w:rPr>
      </w:r>
      <w:r/>
    </w:p>
    <w:p>
      <w:pPr>
        <w:pStyle w:val="764"/>
        <w:rPr>
          <w:rFonts w:hint="default" w:ascii="黑体" w:eastAsia="黑体"/>
          <w:color w:val="auto"/>
          <w:sz w:val="28"/>
          <w:highlight w:val="none"/>
        </w:rPr>
      </w:pPr>
      <w:r>
        <w:rPr>
          <w:rFonts w:hint="default" w:ascii="黑体" w:eastAsia="黑体"/>
          <w:color w:val="auto"/>
          <w:sz w:val="28"/>
          <w:highlight w:val="none"/>
        </w:rPr>
      </w:r>
      <w:r/>
    </w:p>
    <w:p>
      <w:pPr>
        <w:pStyle w:val="764"/>
        <w:rPr>
          <w:rFonts w:hint="default" w:ascii="黑体" w:eastAsia="黑体"/>
          <w:color w:val="auto"/>
          <w:sz w:val="28"/>
          <w:highlight w:val="none"/>
        </w:rPr>
      </w:pPr>
      <w:r>
        <w:rPr>
          <w:rFonts w:hint="default" w:ascii="黑体" w:eastAsia="黑体"/>
          <w:color w:val="auto"/>
          <w:sz w:val="28"/>
          <w:highlight w:val="none"/>
        </w:rPr>
      </w:r>
      <w:r/>
    </w:p>
    <w:p>
      <w:pPr>
        <w:pStyle w:val="764"/>
        <w:rPr>
          <w:rFonts w:hint="default" w:ascii="黑体" w:eastAsia="黑体"/>
          <w:color w:val="auto"/>
          <w:sz w:val="28"/>
          <w:highlight w:val="none"/>
        </w:rPr>
      </w:pPr>
      <w:r>
        <w:rPr>
          <w:rFonts w:hint="default" w:ascii="黑体" w:eastAsia="黑体"/>
          <w:color w:val="auto"/>
          <w:sz w:val="28"/>
          <w:highlight w:val="none"/>
        </w:rPr>
      </w:r>
      <w:r/>
    </w:p>
    <w:p>
      <w:pPr>
        <w:pStyle w:val="764"/>
        <w:rPr>
          <w:rFonts w:hint="default" w:ascii="黑体" w:eastAsia="黑体"/>
          <w:color w:val="auto"/>
          <w:sz w:val="28"/>
          <w:highlight w:val="none"/>
        </w:rPr>
      </w:pPr>
      <w:r>
        <w:rPr>
          <w:rFonts w:hint="default"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758"/>
        <w:jc w:val="both"/>
        <w:spacing w:beforeAutospacing="0" w:afterAutospacing="0"/>
        <w:rPr>
          <w:rFonts w:hint="eastAsia" w:ascii="黑体" w:hAnsi="宋体" w:eastAsia="黑体" w:cs="黑体"/>
          <w:iCs/>
          <w:color w:val="auto"/>
          <w:sz w:val="32"/>
          <w:szCs w:val="32"/>
          <w:highlight w:val="none"/>
          <w:u w:val="single"/>
        </w:rPr>
      </w:pPr>
      <w:r>
        <w:rPr>
          <w:rFonts w:hint="eastAsia" w:ascii="黑体" w:hAnsi="宋体" w:eastAsia="黑体" w:cs="黑体"/>
          <w:iCs/>
          <w:color w:val="auto"/>
          <w:sz w:val="32"/>
          <w:szCs w:val="32"/>
          <w:highlight w:val="none"/>
        </w:rPr>
        <w:t xml:space="preserve">七、</w:t>
      </w:r>
      <w:r>
        <w:rPr>
          <w:rFonts w:hint="eastAsia" w:ascii="黑体" w:hAnsi="宋体" w:eastAsia="黑体" w:cs="黑体"/>
          <w:iCs/>
          <w:color w:val="auto"/>
          <w:sz w:val="32"/>
          <w:szCs w:val="32"/>
          <w:highlight w:val="none"/>
          <w:u w:val="single"/>
        </w:rPr>
        <w:t xml:space="preserve">投标人为被授权人缴纳的社会养老保险证明</w:t>
      </w:r>
      <w:r/>
    </w:p>
    <w:p>
      <w:pPr>
        <w:pStyle w:val="758"/>
        <w:jc w:val="both"/>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both"/>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8"/>
        <w:jc w:val="center"/>
        <w:spacing w:beforeAutospacing="0" w:afterAutospacing="0"/>
        <w:rPr>
          <w:color w:val="auto"/>
          <w:highlight w:val="none"/>
        </w:rPr>
      </w:pPr>
      <w:r>
        <w:rPr>
          <w:rFonts w:hint="eastAsia" w:ascii="黑体" w:hAnsi="宋体" w:eastAsia="黑体" w:cs="黑体"/>
          <w:b/>
          <w:iCs/>
          <w:color w:val="auto"/>
          <w:sz w:val="32"/>
          <w:szCs w:val="32"/>
          <w:highlight w:val="none"/>
          <w:u w:val="single"/>
        </w:rPr>
        <w:t xml:space="preserve">八、投标函</w:t>
      </w:r>
      <w:r/>
    </w:p>
    <w:p>
      <w:pPr>
        <w:pStyle w:val="758"/>
        <w:spacing w:beforeAutospacing="0" w:afterAutospacing="0" w:line="480" w:lineRule="exact"/>
        <w:rPr>
          <w:rFonts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  </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根据贵方编号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的招标文件，正式授权下述签字人_________________（姓名）代表我方______________（投标人的名称），全权处理本次项目投标的有关事宜。</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58"/>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58"/>
        <w:ind w:left="425"/>
        <w:spacing w:beforeAutospacing="0" w:afterAutospacing="0" w:line="48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758"/>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地          址：</w:t>
      </w:r>
      <w:r/>
    </w:p>
    <w:p>
      <w:pPr>
        <w:pStyle w:val="758"/>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邮          编：</w:t>
      </w:r>
      <w:r/>
    </w:p>
    <w:p>
      <w:pPr>
        <w:pStyle w:val="758"/>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电          话：</w:t>
      </w:r>
      <w:r/>
    </w:p>
    <w:p>
      <w:pPr>
        <w:pStyle w:val="758"/>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传          真：</w:t>
      </w:r>
      <w:r/>
    </w:p>
    <w:p>
      <w:pPr>
        <w:pStyle w:val="758"/>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投标人开户行：</w:t>
      </w:r>
      <w:r/>
    </w:p>
    <w:p>
      <w:pPr>
        <w:pStyle w:val="758"/>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账          号： </w:t>
      </w:r>
      <w:r/>
    </w:p>
    <w:p>
      <w:pPr>
        <w:pStyle w:val="758"/>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日           期：________年____月____日</w:t>
      </w:r>
      <w:r/>
    </w:p>
    <w:p>
      <w:pPr>
        <w:pStyle w:val="758"/>
        <w:ind w:firstLine="240"/>
        <w:jc w:val="center"/>
        <w:spacing w:beforeAutospacing="0" w:afterAutospacing="0" w:line="0" w:lineRule="atLeast"/>
        <w:rPr>
          <w:color w:val="auto"/>
          <w:highlight w:val="none"/>
        </w:rPr>
      </w:pPr>
      <w:r>
        <w:rPr>
          <w:color w:val="auto"/>
          <w:highlight w:val="none"/>
        </w:rPr>
        <w:t xml:space="preserve"> </w:t>
      </w:r>
      <w:r/>
    </w:p>
    <w:p>
      <w:pPr>
        <w:pStyle w:val="758"/>
        <w:ind w:firstLine="240"/>
        <w:jc w:val="center"/>
        <w:spacing w:beforeAutospacing="0" w:afterAutospacing="0" w:line="0" w:lineRule="atLeast"/>
        <w:rPr>
          <w:color w:val="auto"/>
          <w:highlight w:val="none"/>
        </w:rPr>
      </w:pPr>
      <w:r>
        <w:rPr>
          <w:color w:val="auto"/>
          <w:highlight w:val="none"/>
        </w:rPr>
        <w:t xml:space="preserve"> </w:t>
      </w:r>
      <w:r/>
    </w:p>
    <w:p>
      <w:pPr>
        <w:pStyle w:val="758"/>
        <w:ind w:firstLine="240"/>
        <w:jc w:val="center"/>
        <w:spacing w:beforeAutospacing="0" w:afterAutospacing="0" w:line="0" w:lineRule="atLeast"/>
        <w:rPr>
          <w:color w:val="auto"/>
          <w:highlight w:val="none"/>
        </w:rPr>
      </w:pPr>
      <w:r>
        <w:rPr>
          <w:color w:val="auto"/>
          <w:highlight w:val="none"/>
        </w:rPr>
        <w:t xml:space="preserve"> </w:t>
      </w:r>
      <w:r/>
    </w:p>
    <w:p>
      <w:pPr>
        <w:pStyle w:val="758"/>
        <w:ind w:firstLine="240"/>
        <w:jc w:val="center"/>
        <w:spacing w:beforeAutospacing="0" w:afterAutospacing="0" w:line="0" w:lineRule="atLeast"/>
        <w:rPr>
          <w:color w:val="auto"/>
          <w:highlight w:val="none"/>
        </w:rPr>
      </w:pPr>
      <w:r>
        <w:rPr>
          <w:color w:val="auto"/>
          <w:highlight w:val="none"/>
        </w:rPr>
        <w:t xml:space="preserve"> </w:t>
      </w:r>
      <w:r/>
    </w:p>
    <w:p>
      <w:pPr>
        <w:pStyle w:val="758"/>
        <w:ind w:firstLine="240"/>
        <w:jc w:val="center"/>
        <w:spacing w:beforeAutospacing="0" w:afterAutospacing="0" w:line="0" w:lineRule="atLeast"/>
        <w:rPr>
          <w:color w:val="auto"/>
          <w:highlight w:val="none"/>
        </w:rPr>
      </w:pPr>
      <w:r>
        <w:rPr>
          <w:color w:val="auto"/>
          <w:highlight w:val="none"/>
        </w:rPr>
      </w:r>
      <w:r/>
    </w:p>
    <w:p>
      <w:pPr>
        <w:pStyle w:val="758"/>
        <w:ind w:firstLine="240"/>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九、政府强制采购产品认证证书</w:t>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十、中小企业声明函（货物）</w:t>
      </w:r>
      <w:r/>
    </w:p>
    <w:p>
      <w:pPr>
        <w:ind w:firstLine="480"/>
        <w:spacing w:line="48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rPr>
        <w:t xml:space="preserve">  （采购人）  </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ind w:firstLine="480"/>
        <w:spacing w:line="480" w:lineRule="exact"/>
        <w:rPr>
          <w:color w:val="auto"/>
          <w:sz w:val="24"/>
          <w:highlight w:val="none"/>
        </w:rPr>
      </w:pPr>
      <w:r>
        <w:rPr>
          <w:rFonts w:hint="eastAsia"/>
          <w:color w:val="auto"/>
          <w:sz w:val="24"/>
          <w:highlight w:val="none"/>
        </w:rPr>
        <w:t xml:space="preserve">1.</w:t>
      </w:r>
      <w:r>
        <w:rPr>
          <w:rFonts w:hint="eastAsia"/>
          <w:color w:val="auto"/>
          <w:sz w:val="24"/>
          <w:highlight w:val="none"/>
          <w:u w:val="single"/>
        </w:rPr>
        <w:t xml:space="preserve">（标的名称）</w:t>
      </w:r>
      <w:r>
        <w:rPr>
          <w:rFonts w:hint="eastAsia"/>
          <w:color w:val="auto"/>
          <w:sz w:val="24"/>
          <w:highlight w:val="none"/>
        </w:rPr>
        <w:t xml:space="preserve"> ，属于</w:t>
      </w:r>
      <w:r>
        <w:rPr>
          <w:rFonts w:hint="eastAsia"/>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2.</w:t>
      </w:r>
      <w:r>
        <w:rPr>
          <w:rFonts w:hint="eastAsia"/>
          <w:color w:val="auto"/>
          <w:sz w:val="24"/>
          <w:highlight w:val="none"/>
          <w:u w:val="single"/>
        </w:rPr>
        <w:t xml:space="preserve">（标的名称）</w:t>
      </w:r>
      <w:r>
        <w:rPr>
          <w:rFonts w:hint="eastAsia"/>
          <w:color w:val="auto"/>
          <w:sz w:val="24"/>
          <w:highlight w:val="none"/>
        </w:rPr>
        <w:t xml:space="preserve"> ，属于</w:t>
      </w:r>
      <w:r>
        <w:rPr>
          <w:rFonts w:hint="eastAsia"/>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lang w:val="en-US" w:eastAsia="zh-CN"/>
        </w:rPr>
        <w:t xml:space="preserve">8</w:t>
      </w:r>
      <w:r>
        <w:rPr>
          <w:rFonts w:hint="eastAsia"/>
          <w:color w:val="auto"/>
          <w:sz w:val="24"/>
          <w:highlight w:val="none"/>
        </w:rPr>
        <w:t xml:space="preserve">.</w:t>
      </w:r>
      <w:r>
        <w:rPr>
          <w:rFonts w:hint="eastAsia"/>
          <w:color w:val="auto"/>
          <w:sz w:val="24"/>
          <w:highlight w:val="none"/>
          <w:u w:val="single"/>
        </w:rPr>
        <w:t xml:space="preserve">（标的名称）</w:t>
      </w:r>
      <w:r>
        <w:rPr>
          <w:rFonts w:hint="eastAsia"/>
          <w:color w:val="auto"/>
          <w:sz w:val="24"/>
          <w:highlight w:val="none"/>
        </w:rPr>
        <w:t xml:space="preserve"> ，属于</w:t>
      </w:r>
      <w:r>
        <w:rPr>
          <w:rFonts w:hint="eastAsia"/>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758"/>
        <w:ind w:right="720"/>
        <w:jc w:val="both"/>
        <w:spacing w:beforeAutospacing="0" w:afterAutospacing="0" w:line="480" w:lineRule="exact"/>
        <w:rPr>
          <w:color w:val="auto"/>
          <w:highlight w:val="none"/>
        </w:rPr>
      </w:pPr>
      <w:r>
        <w:rPr>
          <w:color w:val="auto"/>
          <w:highlight w:val="none"/>
        </w:rPr>
        <w:t xml:space="preserve"> </w:t>
      </w:r>
      <w:r/>
    </w:p>
    <w:p>
      <w:pPr>
        <w:pStyle w:val="758"/>
        <w:ind w:right="180" w:firstLine="360"/>
        <w:jc w:val="right"/>
        <w:spacing w:beforeAutospacing="0" w:afterAutospacing="0" w:line="480" w:lineRule="exact"/>
        <w:rPr>
          <w:color w:val="auto"/>
          <w:highlight w:val="none"/>
        </w:rPr>
      </w:pPr>
      <w:r>
        <w:rPr>
          <w:rFonts w:hint="eastAsia" w:ascii="宋体" w:hAnsi="宋体" w:eastAsia="宋体" w:cs="宋体"/>
          <w:color w:val="auto"/>
          <w:highlight w:val="none"/>
        </w:rPr>
        <w:t xml:space="preserve">企业名称（加盖CA电子公章）：</w:t>
      </w:r>
      <w:r/>
    </w:p>
    <w:p>
      <w:pPr>
        <w:pStyle w:val="758"/>
        <w:ind w:right="480" w:firstLine="540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日  期：</w:t>
      </w:r>
      <w:r/>
    </w:p>
    <w:p>
      <w:pPr>
        <w:pStyle w:val="758"/>
        <w:ind w:firstLine="240"/>
        <w:jc w:val="both"/>
        <w:spacing w:beforeAutospacing="0" w:afterAutospacing="0" w:line="480" w:lineRule="exact"/>
        <w:rPr>
          <w:color w:val="auto"/>
          <w:highlight w:val="none"/>
        </w:rPr>
      </w:pPr>
      <w:r>
        <w:rPr>
          <w:color w:val="auto"/>
          <w:highlight w:val="none"/>
        </w:rPr>
        <w:t xml:space="preserve"> </w:t>
      </w:r>
      <w:r/>
    </w:p>
    <w:p>
      <w:pPr>
        <w:pStyle w:val="758"/>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58"/>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58"/>
        <w:ind w:firstLine="480"/>
        <w:jc w:val="both"/>
        <w:spacing w:beforeAutospacing="0" w:afterAutospacing="0" w:line="480" w:lineRule="exact"/>
        <w:rPr>
          <w:rFonts w:eastAsia="宋体"/>
          <w:color w:val="auto"/>
          <w:highlight w:val="none"/>
        </w:rPr>
      </w:pPr>
      <w:r>
        <w:rPr>
          <w:rFonts w:hint="eastAsia" w:ascii="宋体" w:hAnsi="宋体" w:eastAsia="宋体" w:cs="宋体"/>
          <w:color w:val="auto"/>
          <w:highlight w:val="none"/>
        </w:rPr>
        <w:t xml:space="preserve">备注3：仅需填报《采购标的对应的中小企业划分标准所属行业一览表》中列标的。</w:t>
      </w:r>
      <w:r/>
    </w:p>
    <w:p>
      <w:pPr>
        <w:pStyle w:val="75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十一、残疾人福利性单位声明函（分包号：**）</w:t>
      </w:r>
      <w:r/>
    </w:p>
    <w:p>
      <w:pPr>
        <w:pStyle w:val="75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58"/>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58"/>
        <w:ind w:firstLine="480"/>
        <w:jc w:val="both"/>
        <w:spacing w:beforeAutospacing="0" w:afterAutospacing="0" w:line="480" w:lineRule="exact"/>
        <w:rPr>
          <w:color w:val="auto"/>
          <w:highlight w:val="none"/>
        </w:rPr>
      </w:pPr>
      <w:r>
        <w:rPr>
          <w:color w:val="auto"/>
          <w:highlight w:val="none"/>
        </w:rPr>
        <w:t xml:space="preserve"> </w:t>
      </w:r>
      <w:r/>
    </w:p>
    <w:p>
      <w:pPr>
        <w:pStyle w:val="758"/>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58"/>
        <w:ind w:firstLine="624"/>
        <w:jc w:val="both"/>
        <w:spacing w:beforeAutospacing="0" w:afterAutospacing="0" w:line="480" w:lineRule="exact"/>
        <w:rPr>
          <w:color w:val="auto"/>
          <w:highlight w:val="none"/>
        </w:rPr>
      </w:pPr>
      <w:r>
        <w:rPr>
          <w:color w:val="auto"/>
          <w:highlight w:val="none"/>
        </w:rPr>
        <w:t xml:space="preserve"> </w:t>
      </w:r>
      <w:r/>
    </w:p>
    <w:p>
      <w:pPr>
        <w:pStyle w:val="758"/>
        <w:ind w:right="1560" w:firstLine="624"/>
        <w:jc w:val="center"/>
        <w:spacing w:beforeAutospacing="0" w:afterAutospacing="0" w:line="48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58"/>
        <w:ind w:right="1560" w:firstLine="480"/>
        <w:jc w:val="center"/>
        <w:spacing w:beforeAutospacing="0" w:afterAutospacing="0" w:line="48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58"/>
        <w:ind w:right="1560" w:firstLine="480"/>
        <w:jc w:val="center"/>
        <w:spacing w:beforeAutospacing="0" w:afterAutospacing="0" w:line="48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t xml:space="preserve"> </w:t>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line="0" w:lineRule="atLeast"/>
        <w:rPr>
          <w:color w:val="auto"/>
          <w:highlight w:val="none"/>
        </w:rPr>
      </w:pPr>
      <w:r>
        <w:rPr>
          <w:color w:val="auto"/>
          <w:highlight w:val="none"/>
        </w:rPr>
      </w:r>
      <w:r/>
    </w:p>
    <w:p>
      <w:pPr>
        <w:pStyle w:val="75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十二、投标分项报价表</w:t>
      </w:r>
      <w:r/>
    </w:p>
    <w:tbl>
      <w:tblPr>
        <w:tblStyle w:val="738"/>
        <w:tblW w:w="8517"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676"/>
        <w:gridCol w:w="1267"/>
        <w:gridCol w:w="1664"/>
        <w:gridCol w:w="851"/>
        <w:gridCol w:w="1128"/>
        <w:gridCol w:w="1129"/>
      </w:tblGrid>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合价（元）</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裸眼XR终端</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偏振式3D学生VR终端</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穿戴式学生VR终端</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3D VR智慧黑板</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学生终端管理系统</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beforeAutospacing="0" w:afterAutospacing="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bidi="ar"/>
              </w:rPr>
              <w:t xml:space="preserve">XR管理平台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bidi="ar"/>
              </w:rPr>
              <w:t xml:space="preserve">初中理化生VR资源</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bidi="ar"/>
              </w:rPr>
              <w:t xml:space="preserve">初中语文VR资源</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bidi="ar"/>
              </w:rPr>
              <w:t xml:space="preserve">初中综合课程VR资源</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bidi="ar"/>
              </w:rPr>
              <w:t xml:space="preserve">VR编辑软件</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VR素材采集器</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充电车</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AIoT基础学习套件</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pStyle w:val="758"/>
              <w:jc w:val="center"/>
              <w:spacing w:beforeAutospacing="0" w:afterAutospacing="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AIoT进阶学习套件</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58"/>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0" w:type="dxa"/>
          <w:trHeight w:val="567" w:hRule="exact"/>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758"/>
              <w:ind w:firstLine="1890"/>
              <w:jc w:val="both"/>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核心产品品牌：</w:t>
            </w:r>
            <w:r/>
          </w:p>
        </w:tc>
      </w:tr>
      <w:tr>
        <w:trPr>
          <w:tblCellSpacing w:w="0" w:type="dxa"/>
          <w:trHeight w:val="567" w:hRule="exact"/>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75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tc>
      </w:tr>
    </w:tbl>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备注：1.“投标总报价”应包括所投货物（包含与货物相关的服务）费用、安装调试费、测试验收费、培训费、运行维护费用、税金、前期咨询费用及其他有关的为完成本项目发生的所有费用。</w:t>
      </w:r>
      <w:r/>
    </w:p>
    <w:p>
      <w:pPr>
        <w:pStyle w:val="758"/>
        <w:numPr>
          <w:ilvl w:val="0"/>
          <w:numId w:val="6"/>
        </w:numPr>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“投标分项报价表”中“投标总报价”数额应当与“开标一览表”中“投标总报价”数额一致。</w:t>
      </w:r>
      <w:r/>
    </w:p>
    <w:p>
      <w:pPr>
        <w:pStyle w:val="758"/>
        <w:numPr>
          <w:ilvl w:val="0"/>
          <w:numId w:val="0"/>
        </w:numPr>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numPr>
          <w:ilvl w:val="0"/>
          <w:numId w:val="0"/>
        </w:numPr>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jc w:val="both"/>
        <w:spacing w:beforeAutospacing="0" w:afterAutospacing="0"/>
        <w:rPr>
          <w:color w:val="auto"/>
          <w:highlight w:val="none"/>
        </w:rPr>
      </w:pPr>
      <w:r>
        <w:rPr>
          <w:color w:val="auto"/>
          <w:highlight w:val="none"/>
        </w:rPr>
        <w:t xml:space="preserve"> </w:t>
      </w:r>
      <w:r/>
    </w:p>
    <w:p>
      <w:pPr>
        <w:ind w:firstLine="160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w:t>
      </w:r>
      <w:bookmarkStart w:id="190" w:name="_Hlt26955066"/>
      <w:r/>
      <w:bookmarkStart w:id="191" w:name="_格式2__法定代表人授权书"/>
      <w:r/>
      <w:bookmarkStart w:id="192" w:name="_Hlt26609389"/>
      <w:r/>
      <w:bookmarkStart w:id="193" w:name="_Toc462564146"/>
      <w:r/>
      <w:bookmarkStart w:id="194" w:name="_Hlt26955054"/>
      <w:r/>
      <w:bookmarkStart w:id="195" w:name="_Hlt26671374"/>
      <w:r>
        <w:rPr>
          <w:rFonts w:hint="eastAsia" w:ascii="宋体" w:hAnsi="宋体" w:eastAsia="宋体" w:cs="宋体"/>
          <w:color w:val="auto"/>
          <w:sz w:val="32"/>
          <w:szCs w:val="32"/>
          <w:highlight w:val="none"/>
        </w:rPr>
        <w:t xml:space="preserve">盐城市政府采购事前信用承诺书</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（八）本人已认真阅读了上述承诺，并向本单位员工做了宣传教育。</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80"/>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pStyle w:val="758"/>
        <w:jc w:val="center"/>
        <w:spacing w:beforeAutospacing="0" w:afterAutospacing="0"/>
        <w:rPr>
          <w:color w:val="auto"/>
          <w:highlight w:val="none"/>
        </w:rPr>
      </w:pPr>
      <w:r>
        <w:rPr>
          <w:color w:val="auto"/>
          <w:highlight w:val="none"/>
        </w:rPr>
      </w:r>
      <w:r/>
    </w:p>
    <w:p>
      <w:pPr>
        <w:pStyle w:val="75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58"/>
        <w:jc w:val="both"/>
        <w:spacing w:before="29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58"/>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58"/>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58"/>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58"/>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8"/>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58"/>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58"/>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58"/>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58"/>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_GB2312">
    <w:panose1 w:val="02010609060101010101"/>
  </w:font>
  <w:font w:name="华文中宋">
    <w:panose1 w:val="0201060004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lvlOverride w:ilvl="0">
      <w:startOverride w:val="6"/>
    </w:lvlOverride>
  </w:num>
  <w:num w:numId="4">
    <w:abstractNumId w:val="0"/>
    <w:lvlOverride w:ilvl="0">
      <w:startOverride w:val="23"/>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737"/>
    <w:link w:val="728"/>
    <w:uiPriority w:val="9"/>
    <w:rPr>
      <w:rFonts w:ascii="Arial" w:hAnsi="Arial" w:eastAsia="Arial" w:cs="Arial"/>
      <w:sz w:val="40"/>
      <w:szCs w:val="40"/>
    </w:rPr>
  </w:style>
  <w:style w:type="character" w:styleId="694">
    <w:name w:val="Heading 3 Char"/>
    <w:basedOn w:val="737"/>
    <w:link w:val="730"/>
    <w:uiPriority w:val="9"/>
    <w:rPr>
      <w:rFonts w:ascii="Arial" w:hAnsi="Arial" w:eastAsia="Arial" w:cs="Arial"/>
      <w:sz w:val="30"/>
      <w:szCs w:val="30"/>
    </w:rPr>
  </w:style>
  <w:style w:type="character" w:styleId="695">
    <w:name w:val="Heading 4 Char"/>
    <w:basedOn w:val="737"/>
    <w:link w:val="731"/>
    <w:uiPriority w:val="9"/>
    <w:rPr>
      <w:rFonts w:ascii="Arial" w:hAnsi="Arial" w:eastAsia="Arial" w:cs="Arial"/>
      <w:b/>
      <w:bCs/>
      <w:sz w:val="26"/>
      <w:szCs w:val="26"/>
    </w:rPr>
  </w:style>
  <w:style w:type="character" w:styleId="696">
    <w:name w:val="Heading 5 Char"/>
    <w:basedOn w:val="737"/>
    <w:link w:val="732"/>
    <w:uiPriority w:val="9"/>
    <w:rPr>
      <w:rFonts w:ascii="Arial" w:hAnsi="Arial" w:eastAsia="Arial" w:cs="Arial"/>
      <w:b/>
      <w:bCs/>
      <w:sz w:val="24"/>
      <w:szCs w:val="24"/>
    </w:rPr>
  </w:style>
  <w:style w:type="character" w:styleId="697">
    <w:name w:val="Heading 6 Char"/>
    <w:basedOn w:val="737"/>
    <w:link w:val="733"/>
    <w:uiPriority w:val="9"/>
    <w:rPr>
      <w:rFonts w:ascii="Arial" w:hAnsi="Arial" w:eastAsia="Arial" w:cs="Arial"/>
      <w:b/>
      <w:bCs/>
      <w:sz w:val="22"/>
      <w:szCs w:val="22"/>
    </w:rPr>
  </w:style>
  <w:style w:type="character" w:styleId="698">
    <w:name w:val="Heading 7 Char"/>
    <w:basedOn w:val="737"/>
    <w:link w:val="734"/>
    <w:uiPriority w:val="9"/>
    <w:rPr>
      <w:rFonts w:ascii="Arial" w:hAnsi="Arial" w:eastAsia="Arial" w:cs="Arial"/>
      <w:b/>
      <w:bCs/>
      <w:i/>
      <w:iCs/>
      <w:sz w:val="22"/>
      <w:szCs w:val="22"/>
    </w:rPr>
  </w:style>
  <w:style w:type="character" w:styleId="699">
    <w:name w:val="Heading 8 Char"/>
    <w:basedOn w:val="737"/>
    <w:link w:val="735"/>
    <w:uiPriority w:val="9"/>
    <w:rPr>
      <w:rFonts w:ascii="Arial" w:hAnsi="Arial" w:eastAsia="Arial" w:cs="Arial"/>
      <w:i/>
      <w:iCs/>
      <w:sz w:val="22"/>
      <w:szCs w:val="22"/>
    </w:rPr>
  </w:style>
  <w:style w:type="character" w:styleId="700">
    <w:name w:val="Heading 9 Char"/>
    <w:basedOn w:val="737"/>
    <w:link w:val="736"/>
    <w:uiPriority w:val="9"/>
    <w:rPr>
      <w:rFonts w:ascii="Arial" w:hAnsi="Arial" w:eastAsia="Arial" w:cs="Arial"/>
      <w:i/>
      <w:iCs/>
      <w:sz w:val="21"/>
      <w:szCs w:val="21"/>
    </w:rPr>
  </w:style>
  <w:style w:type="character" w:styleId="701">
    <w:name w:val="Title Char"/>
    <w:basedOn w:val="737"/>
    <w:link w:val="759"/>
    <w:uiPriority w:val="10"/>
    <w:rPr>
      <w:sz w:val="48"/>
      <w:szCs w:val="48"/>
    </w:rPr>
  </w:style>
  <w:style w:type="character" w:styleId="702">
    <w:name w:val="Subtitle Char"/>
    <w:basedOn w:val="737"/>
    <w:link w:val="752"/>
    <w:uiPriority w:val="11"/>
    <w:rPr>
      <w:sz w:val="24"/>
      <w:szCs w:val="24"/>
    </w:rPr>
  </w:style>
  <w:style w:type="character" w:styleId="703">
    <w:name w:val="Quote Char"/>
    <w:link w:val="778"/>
    <w:uiPriority w:val="29"/>
    <w:rPr>
      <w:i/>
    </w:rPr>
  </w:style>
  <w:style w:type="character" w:styleId="704">
    <w:name w:val="Intense Quote Char"/>
    <w:link w:val="780"/>
    <w:uiPriority w:val="30"/>
    <w:rPr>
      <w:i/>
    </w:rPr>
  </w:style>
  <w:style w:type="table" w:styleId="705">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Footnote Text Char"/>
    <w:link w:val="753"/>
    <w:uiPriority w:val="99"/>
    <w:rPr>
      <w:sz w:val="18"/>
    </w:rPr>
  </w:style>
  <w:style w:type="character" w:styleId="725">
    <w:name w:val="Endnote Text Char"/>
    <w:link w:val="747"/>
    <w:uiPriority w:val="99"/>
    <w:rPr>
      <w:sz w:val="20"/>
    </w:rPr>
  </w:style>
  <w:style w:type="paragraph" w:styleId="726">
    <w:name w:val="TOC Heading"/>
    <w:uiPriority w:val="39"/>
    <w:unhideWhenUsed/>
  </w:style>
  <w:style w:type="paragraph" w:styleId="72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8">
    <w:name w:val="Heading 1"/>
    <w:basedOn w:val="727"/>
    <w:next w:val="727"/>
    <w:link w:val="765"/>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30">
    <w:name w:val="Heading 3"/>
    <w:basedOn w:val="727"/>
    <w:next w:val="727"/>
    <w:link w:val="76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8"/>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Cs w:val="21"/>
    </w:rPr>
  </w:style>
  <w:style w:type="character" w:styleId="737" w:default="1">
    <w:name w:val="Default Paragraph Font"/>
    <w:uiPriority w:val="1"/>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spacing w:after="57"/>
    </w:pPr>
  </w:style>
  <w:style w:type="paragraph" w:styleId="740">
    <w:name w:val="Caption"/>
    <w:basedOn w:val="727"/>
    <w:next w:val="72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1">
    <w:name w:val="annotation text"/>
    <w:basedOn w:val="727"/>
    <w:uiPriority w:val="0"/>
    <w:qFormat/>
    <w:pPr>
      <w:jc w:val="left"/>
    </w:pPr>
  </w:style>
  <w:style w:type="paragraph" w:styleId="742">
    <w:name w:val="Body Text"/>
    <w:basedOn w:val="727"/>
    <w:next w:val="727"/>
    <w:uiPriority w:val="0"/>
    <w:unhideWhenUsed/>
    <w:qFormat/>
    <w:pPr>
      <w:spacing w:after="120"/>
    </w:pPr>
    <w:rPr>
      <w:rFonts w:ascii="Calibri" w:hAnsi="Calibri"/>
      <w:szCs w:val="22"/>
    </w:rPr>
  </w:style>
  <w:style w:type="paragraph" w:styleId="743">
    <w:name w:val="toc 5"/>
    <w:basedOn w:val="727"/>
    <w:next w:val="727"/>
    <w:uiPriority w:val="39"/>
    <w:unhideWhenUsed/>
    <w:qFormat/>
    <w:pPr>
      <w:ind w:left="1134"/>
      <w:spacing w:after="57"/>
    </w:pPr>
  </w:style>
  <w:style w:type="paragraph" w:styleId="744">
    <w:name w:val="toc 3"/>
    <w:basedOn w:val="727"/>
    <w:next w:val="727"/>
    <w:uiPriority w:val="39"/>
    <w:unhideWhenUsed/>
    <w:qFormat/>
    <w:pPr>
      <w:ind w:left="567"/>
      <w:spacing w:after="57"/>
    </w:pPr>
  </w:style>
  <w:style w:type="paragraph" w:styleId="745">
    <w:name w:val="Plain Text"/>
    <w:basedOn w:val="727"/>
    <w:uiPriority w:val="0"/>
    <w:unhideWhenUsed/>
    <w:qFormat/>
    <w:rPr>
      <w:rFonts w:ascii="宋体" w:hAnsi="Courier New" w:cs="Courier New"/>
      <w:szCs w:val="21"/>
    </w:rPr>
  </w:style>
  <w:style w:type="paragraph" w:styleId="746">
    <w:name w:val="toc 8"/>
    <w:basedOn w:val="727"/>
    <w:next w:val="727"/>
    <w:uiPriority w:val="39"/>
    <w:unhideWhenUsed/>
    <w:qFormat/>
    <w:pPr>
      <w:ind w:left="1984"/>
      <w:spacing w:after="57"/>
    </w:pPr>
  </w:style>
  <w:style w:type="paragraph" w:styleId="747">
    <w:name w:val="endnote text"/>
    <w:basedOn w:val="727"/>
    <w:link w:val="911"/>
    <w:uiPriority w:val="99"/>
    <w:semiHidden/>
    <w:unhideWhenUsed/>
    <w:qFormat/>
    <w:rPr>
      <w:sz w:val="20"/>
    </w:rPr>
  </w:style>
  <w:style w:type="paragraph" w:styleId="748">
    <w:name w:val="Footer"/>
    <w:basedOn w:val="727"/>
    <w:link w:val="915"/>
    <w:uiPriority w:val="0"/>
    <w:qFormat/>
    <w:pPr>
      <w:jc w:val="left"/>
      <w:tabs>
        <w:tab w:val="center" w:pos="4153" w:leader="none"/>
        <w:tab w:val="right" w:pos="8306" w:leader="none"/>
      </w:tabs>
    </w:pPr>
    <w:rPr>
      <w:sz w:val="18"/>
      <w:szCs w:val="18"/>
    </w:rPr>
  </w:style>
  <w:style w:type="paragraph" w:styleId="749">
    <w:name w:val="Header"/>
    <w:basedOn w:val="727"/>
    <w:link w:val="914"/>
    <w:uiPriority w:val="0"/>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27"/>
    <w:next w:val="727"/>
    <w:uiPriority w:val="39"/>
    <w:unhideWhenUsed/>
    <w:qFormat/>
    <w:pPr>
      <w:spacing w:after="57"/>
    </w:pPr>
  </w:style>
  <w:style w:type="paragraph" w:styleId="751">
    <w:name w:val="toc 4"/>
    <w:basedOn w:val="727"/>
    <w:next w:val="727"/>
    <w:uiPriority w:val="39"/>
    <w:unhideWhenUsed/>
    <w:qFormat/>
    <w:pPr>
      <w:ind w:left="850"/>
      <w:spacing w:after="57"/>
    </w:pPr>
  </w:style>
  <w:style w:type="paragraph" w:styleId="752">
    <w:name w:val="Subtitle"/>
    <w:basedOn w:val="727"/>
    <w:next w:val="727"/>
    <w:link w:val="777"/>
    <w:uiPriority w:val="11"/>
    <w:qFormat/>
    <w:pPr>
      <w:spacing w:before="200" w:after="200"/>
    </w:pPr>
    <w:rPr>
      <w:sz w:val="24"/>
    </w:rPr>
  </w:style>
  <w:style w:type="paragraph" w:styleId="753">
    <w:name w:val="footnote text"/>
    <w:basedOn w:val="727"/>
    <w:link w:val="910"/>
    <w:uiPriority w:val="99"/>
    <w:semiHidden/>
    <w:unhideWhenUsed/>
    <w:qFormat/>
    <w:pPr>
      <w:spacing w:after="40"/>
    </w:pPr>
    <w:rPr>
      <w:sz w:val="18"/>
    </w:rPr>
  </w:style>
  <w:style w:type="paragraph" w:styleId="754">
    <w:name w:val="toc 6"/>
    <w:basedOn w:val="727"/>
    <w:next w:val="727"/>
    <w:uiPriority w:val="39"/>
    <w:unhideWhenUsed/>
    <w:qFormat/>
    <w:pPr>
      <w:ind w:left="1417"/>
      <w:spacing w:after="57"/>
    </w:pPr>
  </w:style>
  <w:style w:type="paragraph" w:styleId="755">
    <w:name w:val="table of figures"/>
    <w:basedOn w:val="727"/>
    <w:next w:val="727"/>
    <w:uiPriority w:val="99"/>
    <w:unhideWhenUsed/>
    <w:qFormat/>
  </w:style>
  <w:style w:type="paragraph" w:styleId="756">
    <w:name w:val="toc 2"/>
    <w:basedOn w:val="727"/>
    <w:next w:val="727"/>
    <w:uiPriority w:val="39"/>
    <w:unhideWhenUsed/>
    <w:qFormat/>
    <w:pPr>
      <w:ind w:left="283"/>
      <w:spacing w:after="57"/>
    </w:pPr>
  </w:style>
  <w:style w:type="paragraph" w:styleId="757">
    <w:name w:val="toc 9"/>
    <w:basedOn w:val="727"/>
    <w:next w:val="727"/>
    <w:uiPriority w:val="39"/>
    <w:unhideWhenUsed/>
    <w:qFormat/>
    <w:pPr>
      <w:ind w:left="2268"/>
      <w:spacing w:after="57"/>
    </w:pPr>
  </w:style>
  <w:style w:type="paragraph" w:styleId="758">
    <w:name w:val="Normal (Web)"/>
    <w:basedOn w:val="727"/>
    <w:uiPriority w:val="0"/>
    <w:qFormat/>
    <w:pPr>
      <w:jc w:val="left"/>
      <w:spacing w:beforeAutospacing="1" w:afterAutospacing="1"/>
    </w:pPr>
    <w:rPr>
      <w:rFonts w:cs="Times New Roman"/>
      <w:sz w:val="24"/>
    </w:rPr>
  </w:style>
  <w:style w:type="paragraph" w:styleId="759">
    <w:name w:val="Title"/>
    <w:basedOn w:val="727"/>
    <w:next w:val="727"/>
    <w:link w:val="776"/>
    <w:uiPriority w:val="10"/>
    <w:qFormat/>
    <w:pPr>
      <w:contextualSpacing/>
      <w:spacing w:before="300" w:after="200"/>
    </w:pPr>
    <w:rPr>
      <w:sz w:val="48"/>
      <w:szCs w:val="48"/>
    </w:rPr>
  </w:style>
  <w:style w:type="table" w:styleId="760">
    <w:name w:val="Table Grid"/>
    <w:basedOn w:val="7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endnote reference"/>
    <w:basedOn w:val="737"/>
    <w:uiPriority w:val="99"/>
    <w:semiHidden/>
    <w:unhideWhenUsed/>
    <w:qFormat/>
    <w:rPr>
      <w:vertAlign w:val="superscript"/>
    </w:rPr>
  </w:style>
  <w:style w:type="character" w:styleId="762">
    <w:name w:val="Hyperlink"/>
    <w:uiPriority w:val="99"/>
    <w:unhideWhenUsed/>
    <w:qFormat/>
    <w:rPr>
      <w:color w:val="0563c1" w:themeColor="hyperlink"/>
      <w:u w:val="single"/>
      <w14:textFill>
        <w14:solidFill>
          <w14:schemeClr w14:val="hlink"/>
        </w14:solidFill>
      </w14:textFill>
    </w:rPr>
  </w:style>
  <w:style w:type="character" w:styleId="763">
    <w:name w:val="footnote reference"/>
    <w:basedOn w:val="737"/>
    <w:uiPriority w:val="99"/>
    <w:unhideWhenUsed/>
    <w:qFormat/>
    <w:rPr>
      <w:vertAlign w:val="superscript"/>
    </w:rPr>
  </w:style>
  <w:style w:type="paragraph" w:styleId="764" w:customStyle="1">
    <w:name w:val="文本块1"/>
    <w:basedOn w:val="727"/>
    <w:uiPriority w:val="0"/>
    <w:qFormat/>
    <w:pPr>
      <w:ind w:left="1440"/>
      <w:spacing w:after="120"/>
    </w:pPr>
    <w:rPr>
      <w:rFonts w:hint="eastAsia"/>
    </w:rPr>
  </w:style>
  <w:style w:type="character" w:styleId="765" w:customStyle="1">
    <w:name w:val="标题 1 字符"/>
    <w:basedOn w:val="737"/>
    <w:link w:val="728"/>
    <w:uiPriority w:val="9"/>
    <w:qFormat/>
    <w:rPr>
      <w:rFonts w:ascii="Arial" w:hAnsi="Arial" w:eastAsia="Arial" w:cs="Arial"/>
      <w:sz w:val="40"/>
      <w:szCs w:val="40"/>
    </w:rPr>
  </w:style>
  <w:style w:type="character" w:styleId="766" w:customStyle="1">
    <w:name w:val="Heading 2 Char"/>
    <w:basedOn w:val="737"/>
    <w:uiPriority w:val="9"/>
    <w:qFormat/>
    <w:rPr>
      <w:rFonts w:ascii="Arial" w:hAnsi="Arial" w:eastAsia="Arial" w:cs="Arial"/>
      <w:sz w:val="34"/>
    </w:rPr>
  </w:style>
  <w:style w:type="character" w:styleId="767" w:customStyle="1">
    <w:name w:val="标题 3 字符"/>
    <w:basedOn w:val="737"/>
    <w:link w:val="730"/>
    <w:uiPriority w:val="9"/>
    <w:qFormat/>
    <w:rPr>
      <w:rFonts w:ascii="Arial" w:hAnsi="Arial" w:eastAsia="Arial" w:cs="Arial"/>
      <w:sz w:val="30"/>
      <w:szCs w:val="30"/>
    </w:rPr>
  </w:style>
  <w:style w:type="character" w:styleId="768" w:customStyle="1">
    <w:name w:val="标题 4 字符"/>
    <w:basedOn w:val="737"/>
    <w:link w:val="731"/>
    <w:uiPriority w:val="9"/>
    <w:qFormat/>
    <w:rPr>
      <w:rFonts w:ascii="Arial" w:hAnsi="Arial" w:eastAsia="Arial" w:cs="Arial"/>
      <w:b/>
      <w:bCs/>
      <w:sz w:val="26"/>
      <w:szCs w:val="26"/>
    </w:rPr>
  </w:style>
  <w:style w:type="character" w:styleId="769" w:customStyle="1">
    <w:name w:val="标题 5 字符"/>
    <w:basedOn w:val="737"/>
    <w:link w:val="732"/>
    <w:uiPriority w:val="9"/>
    <w:qFormat/>
    <w:rPr>
      <w:rFonts w:ascii="Arial" w:hAnsi="Arial" w:eastAsia="Arial" w:cs="Arial"/>
      <w:b/>
      <w:bCs/>
      <w:sz w:val="24"/>
      <w:szCs w:val="24"/>
    </w:rPr>
  </w:style>
  <w:style w:type="character" w:styleId="770" w:customStyle="1">
    <w:name w:val="标题 6 字符"/>
    <w:basedOn w:val="737"/>
    <w:link w:val="733"/>
    <w:uiPriority w:val="9"/>
    <w:qFormat/>
    <w:rPr>
      <w:rFonts w:ascii="Arial" w:hAnsi="Arial" w:eastAsia="Arial" w:cs="Arial"/>
      <w:b/>
      <w:bCs/>
      <w:sz w:val="22"/>
      <w:szCs w:val="22"/>
    </w:rPr>
  </w:style>
  <w:style w:type="character" w:styleId="771" w:customStyle="1">
    <w:name w:val="标题 7 字符"/>
    <w:basedOn w:val="737"/>
    <w:link w:val="734"/>
    <w:uiPriority w:val="9"/>
    <w:qFormat/>
    <w:rPr>
      <w:rFonts w:ascii="Arial" w:hAnsi="Arial" w:eastAsia="Arial" w:cs="Arial"/>
      <w:b/>
      <w:bCs/>
      <w:i/>
      <w:iCs/>
      <w:sz w:val="22"/>
      <w:szCs w:val="22"/>
    </w:rPr>
  </w:style>
  <w:style w:type="character" w:styleId="772" w:customStyle="1">
    <w:name w:val="标题 8 字符"/>
    <w:basedOn w:val="737"/>
    <w:link w:val="735"/>
    <w:uiPriority w:val="9"/>
    <w:qFormat/>
    <w:rPr>
      <w:rFonts w:ascii="Arial" w:hAnsi="Arial" w:eastAsia="Arial" w:cs="Arial"/>
      <w:i/>
      <w:iCs/>
      <w:sz w:val="22"/>
      <w:szCs w:val="22"/>
    </w:rPr>
  </w:style>
  <w:style w:type="character" w:styleId="773" w:customStyle="1">
    <w:name w:val="标题 9 字符"/>
    <w:basedOn w:val="737"/>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basedOn w:val="737"/>
    <w:link w:val="759"/>
    <w:uiPriority w:val="10"/>
    <w:qFormat/>
    <w:rPr>
      <w:sz w:val="48"/>
      <w:szCs w:val="48"/>
    </w:rPr>
  </w:style>
  <w:style w:type="character" w:styleId="777" w:customStyle="1">
    <w:name w:val="副标题 字符"/>
    <w:basedOn w:val="737"/>
    <w:link w:val="752"/>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7"/>
    <w:next w:val="727"/>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Header Char"/>
    <w:basedOn w:val="737"/>
    <w:uiPriority w:val="99"/>
    <w:qFormat/>
  </w:style>
  <w:style w:type="character" w:styleId="783" w:customStyle="1">
    <w:name w:val="Footer Char"/>
    <w:basedOn w:val="737"/>
    <w:uiPriority w:val="99"/>
    <w:qFormat/>
  </w:style>
  <w:style w:type="character" w:styleId="784" w:customStyle="1">
    <w:name w:val="Caption Char"/>
    <w:uiPriority w:val="99"/>
    <w:qFormat/>
  </w:style>
  <w:style w:type="table" w:styleId="785" w:customStyle="1">
    <w:name w:val="Table Grid Light"/>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6" w:customStyle="1">
    <w:name w:val="无格式表格 11"/>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网格表 3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3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4" w:customStyle="1">
    <w:name w:val="Grid Table 4 - Accent 2"/>
    <w:basedOn w:val="73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5" w:customStyle="1">
    <w:name w:val="Grid Table 4 - Accent 3"/>
    <w:basedOn w:val="73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3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7" w:customStyle="1">
    <w:name w:val="Grid Table 4 - Accent 5"/>
    <w:basedOn w:val="73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8" w:customStyle="1">
    <w:name w:val="Grid Table 4 - Accent 6"/>
    <w:basedOn w:val="73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网格表 6 彩色1"/>
    <w:basedOn w:val="7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3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3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0" w:customStyle="1">
    <w:name w:val="Grid Table 6 Colorful - Accent 4"/>
    <w:basedOn w:val="7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3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6 Colorful - Accent 6"/>
    <w:basedOn w:val="73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3" w:customStyle="1">
    <w:name w:val="网格表 7 彩色1"/>
    <w:basedOn w:val="7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3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3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3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3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3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3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basedOn w:val="73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3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3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3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3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3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3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清单表 21"/>
    <w:basedOn w:val="7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3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9" w:customStyle="1">
    <w:name w:val="List Table 2 - Accent 2"/>
    <w:basedOn w:val="73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3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3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2" w:customStyle="1">
    <w:name w:val="List Table 2 - Accent 5"/>
    <w:basedOn w:val="73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3" w:customStyle="1">
    <w:name w:val="List Table 2 - Accent 6"/>
    <w:basedOn w:val="73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3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3 - Accent 2"/>
    <w:basedOn w:val="7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3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3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3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3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3" w:customStyle="1">
    <w:name w:val="List Table 4 - Accent 2"/>
    <w:basedOn w:val="73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3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3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3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7" w:customStyle="1">
    <w:name w:val="List Table 4 - Accent 6"/>
    <w:basedOn w:val="73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customStyle="1">
    <w:name w:val="清单表 5 深色1"/>
    <w:basedOn w:val="7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3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3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3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3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3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3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73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3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7" w:customStyle="1">
    <w:name w:val="List Table 6 Colorful - Accent 2"/>
    <w:basedOn w:val="73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8" w:customStyle="1">
    <w:name w:val="List Table 6 Colorful - Accent 3"/>
    <w:basedOn w:val="73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9" w:customStyle="1">
    <w:name w:val="List Table 6 Colorful - Accent 4"/>
    <w:basedOn w:val="73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0" w:customStyle="1">
    <w:name w:val="List Table 6 Colorful - Accent 5"/>
    <w:basedOn w:val="73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1" w:customStyle="1">
    <w:name w:val="List Table 6 Colorful - Accent 6"/>
    <w:basedOn w:val="73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2" w:customStyle="1">
    <w:name w:val="清单表 7 彩色1"/>
    <w:basedOn w:val="73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3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3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3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3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3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3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Lined - Accent 2"/>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Lined - Accent 3"/>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Lined - Accent 5"/>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Lined - Accent 6"/>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3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3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8" w:customStyle="1">
    <w:name w:val="Bordered &amp; Lined - Accent 2"/>
    <w:basedOn w:val="73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9" w:customStyle="1">
    <w:name w:val="Bordered &amp; Lined - Accent 3"/>
    <w:basedOn w:val="73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3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1" w:customStyle="1">
    <w:name w:val="Bordered &amp; Lined - Accent 5"/>
    <w:basedOn w:val="73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2" w:customStyle="1">
    <w:name w:val="Bordered &amp; Lined - Accent 6"/>
    <w:basedOn w:val="73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3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5" w:customStyle="1">
    <w:name w:val="Bordered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6" w:customStyle="1">
    <w:name w:val="Bordered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8" w:customStyle="1">
    <w:name w:val="Bordered - Accent 5"/>
    <w:basedOn w:val="7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9" w:customStyle="1">
    <w:name w:val="Bordered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脚注文本 字符"/>
    <w:link w:val="753"/>
    <w:uiPriority w:val="99"/>
    <w:qFormat/>
    <w:rPr>
      <w:sz w:val="18"/>
    </w:rPr>
  </w:style>
  <w:style w:type="character" w:styleId="911" w:customStyle="1">
    <w:name w:val="尾注文本 字符"/>
    <w:link w:val="747"/>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Default"/>
    <w:basedOn w:val="727"/>
    <w:uiPriority w:val="0"/>
    <w:semiHidden/>
    <w:qFormat/>
    <w:pPr>
      <w:jc w:val="left"/>
    </w:pPr>
    <w:rPr>
      <w:rFonts w:ascii="宋体" w:hAnsi="Calibri" w:cs="宋体"/>
      <w:color w:val="000000"/>
      <w:sz w:val="24"/>
    </w:rPr>
  </w:style>
  <w:style w:type="character" w:styleId="914" w:customStyle="1">
    <w:name w:val="页眉 字符"/>
    <w:basedOn w:val="737"/>
    <w:link w:val="749"/>
    <w:uiPriority w:val="0"/>
    <w:qFormat/>
    <w:rPr>
      <w:rFonts w:asciiTheme="minorHAnsi" w:hAnsiTheme="minorHAnsi" w:eastAsiaTheme="minorEastAsia" w:cstheme="minorBidi"/>
      <w:sz w:val="18"/>
      <w:szCs w:val="18"/>
    </w:rPr>
  </w:style>
  <w:style w:type="character" w:styleId="915" w:customStyle="1">
    <w:name w:val="页脚 字符"/>
    <w:basedOn w:val="737"/>
    <w:link w:val="748"/>
    <w:uiPriority w:val="0"/>
    <w:qFormat/>
    <w:rPr>
      <w:rFonts w:asciiTheme="minorHAnsi" w:hAnsiTheme="minorHAnsi" w:eastAsiaTheme="minorEastAsia" w:cstheme="minorBidi"/>
      <w:sz w:val="18"/>
      <w:szCs w:val="18"/>
    </w:rPr>
  </w:style>
  <w:style w:type="paragraph" w:styleId="91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7" w:customStyle="1">
    <w:name w:val="页脚1"/>
    <w:basedOn w:val="727"/>
    <w:uiPriority w:val="99"/>
    <w:unhideWhenUsed/>
    <w:qFormat/>
    <w:pPr>
      <w:jc w:val="left"/>
      <w:tabs>
        <w:tab w:val="center" w:pos="4153" w:leader="none"/>
        <w:tab w:val="right" w:pos="8306" w:leader="none"/>
      </w:tabs>
    </w:pPr>
    <w:rPr>
      <w:sz w:val="18"/>
      <w:szCs w:val="18"/>
    </w:rPr>
  </w:style>
  <w:style w:type="paragraph" w:styleId="918" w:customStyle="1">
    <w:name w:val="普通正文"/>
    <w:basedOn w:val="727"/>
    <w:uiPriority w:val="0"/>
    <w:qFormat/>
    <w:pPr>
      <w:ind w:firstLine="480"/>
      <w:jc w:val="left"/>
      <w:spacing w:before="120" w:after="120" w:line="360" w:lineRule="auto"/>
    </w:pPr>
    <w:rPr>
      <w:rFonts w:ascii="Arial" w:hAnsi="Arial" w:eastAsia="等线" w:cs="Arial"/>
      <w:sz w:val="24"/>
    </w:rPr>
  </w:style>
  <w:style w:type="paragraph" w:styleId="919" w:customStyle="1">
    <w:name w:val="正文首行缩进 21"/>
    <w:basedOn w:val="920"/>
    <w:uiPriority w:val="0"/>
    <w:qFormat/>
    <w:pPr>
      <w:ind w:firstLine="420"/>
    </w:pPr>
  </w:style>
  <w:style w:type="paragraph" w:styleId="920" w:customStyle="1">
    <w:name w:val="正文文本缩进1"/>
    <w:basedOn w:val="727"/>
    <w:uiPriority w:val="0"/>
    <w:qFormat/>
    <w:pPr>
      <w:ind w:left="420"/>
      <w:spacing w:after="120"/>
    </w:pPr>
  </w:style>
  <w:style w:type="paragraph" w:styleId="921" w:customStyle="1">
    <w:name w:val="p0"/>
    <w:basedOn w:val="727"/>
    <w:uiPriority w:val="0"/>
    <w:qFormat/>
    <w:pPr>
      <w:widowControl/>
    </w:pPr>
    <w:rPr>
      <w:rFonts w:ascii="Calibri" w:hAnsi="Calibri" w:eastAsia="宋体" w:cs="Times New Roman"/>
      <w:szCs w:val="21"/>
    </w:rPr>
  </w:style>
  <w:style w:type="paragraph" w:styleId="922" w:customStyle="1">
    <w:name w:val="Revision"/>
    <w:hidden/>
    <w:uiPriority w:val="99"/>
    <w:unhideWhenUsed/>
    <w:qFormat/>
    <w:rPr>
      <w:rFonts w:asciiTheme="minorHAnsi" w:hAnsiTheme="minorHAnsi" w:eastAsiaTheme="minorEastAsia" w:cstheme="minorBidi"/>
      <w:sz w:val="21"/>
      <w:szCs w:val="24"/>
      <w:lang w:val="en-US" w:eastAsia="zh-CN" w:bidi="ar-SA"/>
    </w:r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6</cp:revision>
  <dcterms:created xsi:type="dcterms:W3CDTF">2025-08-12T09:48:00Z</dcterms:created>
  <dcterms:modified xsi:type="dcterms:W3CDTF">2025-10-10T09:04:54Z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0794775C37B5443AB6C688BB55E0074B_13</vt:lpwstr>
  </property>
  <property fmtid="{D5CDD505-2E9C-101B-9397-08002B2CF9AE}" pid="4" name="KSOTemplateDocerSaveRecord">
    <vt:lpwstr>eyJoZGlkIjoiYjA5ZGM2ZWEzZTFmMTNmZjQ5MzY5NzkxNDYyYzFhMTYiLCJ1c2VySWQiOiIxMzA2NDU5MDMyIn0=</vt:lpwstr>
  </property>
</Properties>
</file>